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A41431" w:rsidRPr="0096221A" w14:paraId="3C52FF81" w14:textId="77777777" w:rsidTr="00A41431">
        <w:tc>
          <w:tcPr>
            <w:tcW w:w="3666" w:type="dxa"/>
            <w:shd w:val="solid" w:color="F2DBDB" w:themeColor="accent2" w:themeTint="33" w:fill="C0504D" w:themeFill="accent2"/>
          </w:tcPr>
          <w:p w14:paraId="4BA3B503" w14:textId="77777777" w:rsidR="00A41431" w:rsidRPr="0096221A" w:rsidRDefault="00A41431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Grade 2</w:t>
            </w: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2640875" w14:textId="77777777" w:rsidR="00A41431" w:rsidRDefault="00A41431" w:rsidP="009622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Lesson: 5-3</w:t>
            </w:r>
          </w:p>
          <w:p w14:paraId="7A07AA8B" w14:textId="56810611" w:rsidR="00A41431" w:rsidRPr="0096221A" w:rsidRDefault="00A41431" w:rsidP="0096221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Using Symbols to Compare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680253BA" w14:textId="5EA4F936" w:rsidR="00A41431" w:rsidRPr="00A41431" w:rsidRDefault="00A41431" w:rsidP="00346544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A41431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5437E0" w:rsidRPr="0096221A" w14:paraId="2210ECF1" w14:textId="77777777" w:rsidTr="00A4143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720D825" w14:textId="71F8CFDC" w:rsidR="005437E0" w:rsidRPr="0096221A" w:rsidRDefault="005437E0" w:rsidP="00346544">
            <w:pPr>
              <w:rPr>
                <w:rFonts w:asciiTheme="majorHAnsi" w:hAnsiTheme="majorHAnsi"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Math Standard(s)</w:t>
            </w:r>
            <w:r w:rsidR="00A41431" w:rsidRPr="0096221A">
              <w:rPr>
                <w:rFonts w:asciiTheme="majorHAnsi" w:hAnsiTheme="majorHAnsi"/>
                <w:b/>
                <w:sz w:val="20"/>
                <w:szCs w:val="20"/>
              </w:rPr>
              <w:t>: 2.NBT.3</w:t>
            </w: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Domain: Number and Operation in Base Ten</w:t>
            </w:r>
          </w:p>
        </w:tc>
      </w:tr>
      <w:tr w:rsidR="005437E0" w:rsidRPr="0096221A" w14:paraId="21074889" w14:textId="77777777" w:rsidTr="00A4143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7E5EA9CC" w14:textId="77777777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0A4E58F" w14:textId="77777777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5437E0" w:rsidRPr="0096221A" w14:paraId="10709081" w14:textId="77777777" w:rsidTr="00346544">
        <w:tc>
          <w:tcPr>
            <w:tcW w:w="5418" w:type="dxa"/>
            <w:gridSpan w:val="2"/>
          </w:tcPr>
          <w:p w14:paraId="2F768258" w14:textId="77777777" w:rsidR="005437E0" w:rsidRDefault="005437E0" w:rsidP="00346544">
            <w:pPr>
              <w:rPr>
                <w:rFonts w:asciiTheme="majorHAnsi" w:hAnsiTheme="majorHAnsi"/>
                <w:sz w:val="20"/>
                <w:szCs w:val="20"/>
              </w:rPr>
            </w:pPr>
            <w:r w:rsidRPr="0096221A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01C32" w:rsidRPr="0096221A">
              <w:rPr>
                <w:rFonts w:asciiTheme="majorHAnsi" w:hAnsiTheme="majorHAnsi"/>
                <w:sz w:val="20"/>
                <w:szCs w:val="20"/>
              </w:rPr>
              <w:t>compare two-digit numbers using symbols</w:t>
            </w:r>
            <w:r w:rsidRPr="0096221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14B2354" w14:textId="77777777" w:rsidR="00A41431" w:rsidRPr="0096221A" w:rsidRDefault="00A41431" w:rsidP="0034654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34A4F8" w14:textId="6A9749D2" w:rsidR="005437E0" w:rsidRPr="0096221A" w:rsidRDefault="00FC6476" w:rsidP="00A4143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4143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comparer des nombres à deux chiffres en utilisant des signes</w:t>
            </w:r>
            <w:r w:rsidR="005437E0" w:rsidRPr="00A4143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.</w:t>
            </w:r>
            <w:r w:rsidR="00401C32" w:rsidRPr="0096221A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</w:tcPr>
          <w:p w14:paraId="5AA967FA" w14:textId="77777777" w:rsidR="005437E0" w:rsidRPr="0096221A" w:rsidRDefault="005437E0" w:rsidP="00346544">
            <w:pPr>
              <w:rPr>
                <w:rFonts w:asciiTheme="majorHAnsi" w:hAnsiTheme="majorHAnsi"/>
                <w:sz w:val="20"/>
                <w:szCs w:val="20"/>
              </w:rPr>
            </w:pPr>
            <w:r w:rsidRPr="0096221A">
              <w:rPr>
                <w:rFonts w:asciiTheme="majorHAnsi" w:hAnsiTheme="majorHAnsi"/>
                <w:sz w:val="20"/>
                <w:szCs w:val="20"/>
              </w:rPr>
              <w:t xml:space="preserve">Students will use the words </w:t>
            </w:r>
            <w:r w:rsidR="00401C32" w:rsidRPr="0096221A">
              <w:rPr>
                <w:rFonts w:asciiTheme="majorHAnsi" w:hAnsiTheme="majorHAnsi"/>
                <w:sz w:val="20"/>
                <w:szCs w:val="20"/>
              </w:rPr>
              <w:t>greater than, less than, equal to to compare</w:t>
            </w:r>
            <w:r w:rsidRPr="0096221A">
              <w:rPr>
                <w:rFonts w:asciiTheme="majorHAnsi" w:hAnsiTheme="majorHAnsi"/>
                <w:sz w:val="20"/>
                <w:szCs w:val="20"/>
              </w:rPr>
              <w:t xml:space="preserve"> two-digit numbers.</w:t>
            </w:r>
          </w:p>
          <w:p w14:paraId="3006D044" w14:textId="64662CF3" w:rsidR="005437E0" w:rsidRPr="00A41431" w:rsidRDefault="00FC6476" w:rsidP="00FC6476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A4143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utiliser les mots plus grand que</w:t>
            </w:r>
            <w:r w:rsidR="00401C32" w:rsidRPr="00A4143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, </w:t>
            </w:r>
            <w:r w:rsidRPr="00A41431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plus petit que et égal à pour comparer des nombres à deux chiffres. </w:t>
            </w:r>
          </w:p>
        </w:tc>
      </w:tr>
      <w:tr w:rsidR="005437E0" w:rsidRPr="0096221A" w14:paraId="35D39744" w14:textId="77777777" w:rsidTr="00346544">
        <w:tc>
          <w:tcPr>
            <w:tcW w:w="5418" w:type="dxa"/>
            <w:gridSpan w:val="2"/>
          </w:tcPr>
          <w:p w14:paraId="4964697F" w14:textId="77777777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2C3015AA" w14:textId="77777777" w:rsidR="005437E0" w:rsidRPr="0096221A" w:rsidRDefault="005437E0" w:rsidP="00346544">
            <w:pPr>
              <w:rPr>
                <w:rFonts w:asciiTheme="majorHAnsi" w:hAnsiTheme="majorHAnsi"/>
                <w:sz w:val="20"/>
                <w:szCs w:val="20"/>
              </w:rPr>
            </w:pPr>
            <w:r w:rsidRPr="0096221A">
              <w:rPr>
                <w:rFonts w:asciiTheme="majorHAnsi" w:hAnsiTheme="majorHAnsi"/>
                <w:sz w:val="20"/>
                <w:szCs w:val="20"/>
              </w:rPr>
              <w:t>Numbers can be used to show how many. In a two digit number, the tens digit tells how many groups of ten, and the ones digit tells the number of ones.</w:t>
            </w:r>
          </w:p>
          <w:p w14:paraId="4BBBDD25" w14:textId="77777777" w:rsidR="005437E0" w:rsidRPr="0096221A" w:rsidRDefault="005437E0" w:rsidP="0034654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011FABBD" w14:textId="4B4AF85D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A41431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370C163A" w14:textId="56B6B666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Listen</w:t>
            </w:r>
            <w:r w:rsidR="00876CD5"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FC6476" w:rsidRPr="00A41431">
              <w:rPr>
                <w:rFonts w:asciiTheme="majorHAnsi" w:hAnsiTheme="majorHAnsi"/>
                <w:sz w:val="20"/>
                <w:szCs w:val="20"/>
                <w:lang w:val="fr-FR"/>
              </w:rPr>
              <w:t>plus grand que, plus petit que, égal à</w:t>
            </w:r>
            <w:r w:rsidR="000F6BF1" w:rsidRPr="00A4143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, </w:t>
            </w:r>
            <w:r w:rsidR="00FC6476" w:rsidRPr="00A41431">
              <w:rPr>
                <w:rFonts w:asciiTheme="majorHAnsi" w:hAnsiTheme="majorHAnsi"/>
                <w:sz w:val="20"/>
                <w:szCs w:val="20"/>
                <w:lang w:val="fr-FR"/>
              </w:rPr>
              <w:t>signes</w:t>
            </w:r>
          </w:p>
          <w:p w14:paraId="65BD7B1F" w14:textId="20BAB4E7" w:rsidR="005437E0" w:rsidRPr="00A41431" w:rsidRDefault="005437E0" w:rsidP="00346544">
            <w:pPr>
              <w:rPr>
                <w:rFonts w:asciiTheme="majorHAnsi" w:hAnsiTheme="majorHAnsi"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Read: </w:t>
            </w:r>
            <w:r w:rsidR="00FC6476" w:rsidRPr="00A41431">
              <w:rPr>
                <w:rFonts w:asciiTheme="majorHAnsi" w:hAnsiTheme="majorHAnsi"/>
                <w:sz w:val="20"/>
                <w:szCs w:val="20"/>
                <w:lang w:val="fr-FR"/>
              </w:rPr>
              <w:t>plus grand que, plus petit que, égal à</w:t>
            </w:r>
          </w:p>
          <w:p w14:paraId="31294794" w14:textId="4F74ADBA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  <w:r w:rsidR="00876CD5"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C6476" w:rsidRPr="00A41431">
              <w:rPr>
                <w:rFonts w:asciiTheme="majorHAnsi" w:hAnsiTheme="majorHAnsi"/>
                <w:sz w:val="20"/>
                <w:szCs w:val="20"/>
                <w:lang w:val="fr-FR"/>
              </w:rPr>
              <w:t>plus grand que, plus petit que, égal à</w:t>
            </w:r>
          </w:p>
          <w:p w14:paraId="17ABC126" w14:textId="7B357B30" w:rsidR="005437E0" w:rsidRPr="00A41431" w:rsidRDefault="005437E0" w:rsidP="00346544">
            <w:pPr>
              <w:rPr>
                <w:rFonts w:asciiTheme="majorHAnsi" w:hAnsiTheme="majorHAnsi"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  <w:r w:rsidR="00FC6476" w:rsidRPr="00A41431">
              <w:rPr>
                <w:rFonts w:asciiTheme="majorHAnsi" w:hAnsiTheme="majorHAnsi"/>
                <w:sz w:val="20"/>
                <w:szCs w:val="20"/>
                <w:lang w:val="fr-FR"/>
              </w:rPr>
              <w:t>plus grand que, plus petit que, égal à</w:t>
            </w:r>
          </w:p>
          <w:p w14:paraId="331D941D" w14:textId="77777777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Sentence Frame: </w:t>
            </w:r>
          </w:p>
          <w:p w14:paraId="10C7F70D" w14:textId="28F84A11" w:rsidR="005437E0" w:rsidRPr="00A41431" w:rsidRDefault="00A41431" w:rsidP="00346544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____</w:t>
            </w:r>
            <w:proofErr w:type="gramStart"/>
            <w:r w:rsidR="00FC6476" w:rsidRPr="00A41431">
              <w:rPr>
                <w:rFonts w:asciiTheme="majorHAnsi" w:hAnsiTheme="majorHAnsi"/>
                <w:sz w:val="20"/>
                <w:szCs w:val="20"/>
                <w:lang w:val="fr-FR"/>
              </w:rPr>
              <w:t>est</w:t>
            </w:r>
            <w:proofErr w:type="gramEnd"/>
            <w:r w:rsidR="00FC6476" w:rsidRPr="00A41431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_______que</w:t>
            </w:r>
            <w:r w:rsidR="00876CD5" w:rsidRPr="00A41431">
              <w:rPr>
                <w:rFonts w:asciiTheme="majorHAnsi" w:hAnsiTheme="majorHAnsi"/>
                <w:sz w:val="20"/>
                <w:szCs w:val="20"/>
                <w:lang w:val="fr-FR"/>
              </w:rPr>
              <w:t>_______.</w:t>
            </w:r>
          </w:p>
          <w:p w14:paraId="625D7162" w14:textId="16DB1464" w:rsidR="005437E0" w:rsidRPr="0096221A" w:rsidRDefault="00FC6476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41431">
              <w:rPr>
                <w:rFonts w:asciiTheme="majorHAnsi" w:hAnsiTheme="majorHAnsi"/>
                <w:sz w:val="20"/>
                <w:szCs w:val="20"/>
                <w:lang w:val="fr-FR"/>
              </w:rPr>
              <w:t>_____est______ à</w:t>
            </w:r>
            <w:r w:rsidR="00876CD5" w:rsidRPr="00A41431">
              <w:rPr>
                <w:rFonts w:asciiTheme="majorHAnsi" w:hAnsiTheme="majorHAnsi"/>
                <w:sz w:val="20"/>
                <w:szCs w:val="20"/>
                <w:lang w:val="fr-FR"/>
              </w:rPr>
              <w:t>________.</w:t>
            </w:r>
          </w:p>
        </w:tc>
      </w:tr>
      <w:tr w:rsidR="005437E0" w:rsidRPr="0096221A" w14:paraId="449834DF" w14:textId="77777777" w:rsidTr="00A4143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15EDD4E" w14:textId="70A0327F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16B4AB70" w14:textId="03C05AF0" w:rsidR="005437E0" w:rsidRPr="0096221A" w:rsidRDefault="00A41431" w:rsidP="003465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Number cards 0-11 (</w:t>
            </w:r>
            <w:r w:rsidR="00876CD5"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Teaching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876CD5" w:rsidRPr="0096221A">
              <w:rPr>
                <w:rFonts w:asciiTheme="majorHAnsi" w:hAnsiTheme="majorHAnsi"/>
                <w:b/>
                <w:sz w:val="20"/>
                <w:szCs w:val="20"/>
              </w:rPr>
              <w:t>ool 2</w:t>
            </w:r>
            <w:r w:rsidR="005437E0" w:rsidRPr="0096221A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  <w:p w14:paraId="7F5CA564" w14:textId="137A5D0E" w:rsidR="00346544" w:rsidRPr="0096221A" w:rsidRDefault="00346544" w:rsidP="0034654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2 boxes of crayons, different sizes (optional)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CEFFF16" w14:textId="77777777" w:rsidR="00A41431" w:rsidRDefault="00A41431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5437E0" w:rsidRPr="0096221A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="00876CD5"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2EEF776" w14:textId="77777777" w:rsidR="005437E0" w:rsidRPr="0096221A" w:rsidRDefault="005437E0" w:rsidP="00A41431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437E0" w:rsidRPr="0096221A" w14:paraId="5F34EDFC" w14:textId="77777777" w:rsidTr="00A4143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1E312209" w14:textId="1F6A9273" w:rsidR="005437E0" w:rsidRPr="0096221A" w:rsidRDefault="005437E0" w:rsidP="00A4143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5DF370A2" w14:textId="77777777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 xml:space="preserve">Instructional Time: 35 </w:t>
            </w:r>
            <w:proofErr w:type="spellStart"/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mins</w:t>
            </w:r>
            <w:proofErr w:type="spellEnd"/>
          </w:p>
        </w:tc>
      </w:tr>
      <w:tr w:rsidR="005437E0" w:rsidRPr="0096221A" w14:paraId="30A5F0E7" w14:textId="77777777" w:rsidTr="00A4143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C9AD569" w14:textId="4E84131D" w:rsidR="005437E0" w:rsidRPr="0096221A" w:rsidRDefault="0096221A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5437E0"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3 minutes) – </w:t>
            </w:r>
          </w:p>
          <w:p w14:paraId="4F48FD06" w14:textId="77B7FFF4" w:rsidR="00346544" w:rsidRPr="0096221A" w:rsidRDefault="000F6BF1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appris comment utiliser les dizaines et les unités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écrire des nombres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 nous allons apprendre comment comparer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des nombres en utilisant des signes, en regardant les dizaines et les unités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4F23B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Avez-vous déjà vu une boite</w:t>
            </w:r>
            <w:r w:rsidR="00346544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crayons qui contient</w:t>
            </w:r>
            <w:r w:rsidR="00346544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64 crayons?!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Comment la compareriez-vous </w:t>
            </w:r>
            <w:r w:rsidR="00FC6476" w:rsidRPr="00FC64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C64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une boite qui contient</w:t>
            </w:r>
            <w:r w:rsidR="00346544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24 crayons</w:t>
            </w:r>
            <w:r w:rsidR="00346544" w:rsidRPr="0096221A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8BC7A8A" w14:textId="5FBAF574" w:rsidR="00346544" w:rsidRPr="0096221A" w:rsidRDefault="00346544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If you have boxes of crayons, hold them both up. Otherwise show 64 and 24 with cubes.</w:t>
            </w:r>
          </w:p>
          <w:p w14:paraId="0799B9AE" w14:textId="6D3196FA" w:rsidR="00346544" w:rsidRPr="0096221A" w:rsidRDefault="00346544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celles-ci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et dites </w:t>
            </w:r>
            <w:r w:rsidR="00FC6476" w:rsidRPr="00FC64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à</w:t>
            </w:r>
            <w:r w:rsidR="00FC6476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votre partenaire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groupe a le plus de dizaines</w:t>
            </w: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Pr="0096221A">
              <w:rPr>
                <w:rFonts w:asciiTheme="majorHAnsi" w:hAnsiTheme="majorHAnsi" w:cs="Arial"/>
                <w:sz w:val="20"/>
                <w:szCs w:val="20"/>
              </w:rPr>
              <w:br/>
              <w:t>S: will tell neighbor 64 has more tens</w:t>
            </w:r>
          </w:p>
          <w:p w14:paraId="10C356B2" w14:textId="77777777" w:rsidR="005437E0" w:rsidRPr="0096221A" w:rsidRDefault="005437E0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E129185" w14:textId="796544F9" w:rsidR="00840032" w:rsidRPr="0096221A" w:rsidRDefault="005437E0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Introduction to New Material (Direct Instruction): </w:t>
            </w:r>
            <w:proofErr w:type="gramStart"/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( 8</w:t>
            </w:r>
            <w:proofErr w:type="gramEnd"/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01FF15E" w14:textId="047B6D08" w:rsidR="00840032" w:rsidRPr="0096221A" w:rsidRDefault="00840032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You will need number cards</w:t>
            </w:r>
          </w:p>
          <w:p w14:paraId="7692F8EF" w14:textId="217AFA4F" w:rsidR="005437E0" w:rsidRPr="0096221A" w:rsidRDefault="005437E0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“ </w:t>
            </w:r>
            <w:r w:rsid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Jai besoin de 2 élèves pour venir démontrer comment faire devant la classe</w:t>
            </w: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D14045C" w14:textId="77777777" w:rsidR="00840032" w:rsidRPr="0096221A" w:rsidRDefault="00840032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2 volunteers will go to the front</w:t>
            </w:r>
          </w:p>
          <w:p w14:paraId="43F819A9" w14:textId="013A2966" w:rsidR="00840032" w:rsidRPr="00FC6476" w:rsidRDefault="00840032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T:  Hold up the number cards so the class can’t see the numbers.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Chacun de vous choisit 2 cartes</w:t>
            </w:r>
            <w:r w:rsidR="00051F8F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mais ne les montrez pas à la classe</w:t>
            </w:r>
            <w:r w:rsidR="00051F8F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EA2B9B6" w14:textId="77777777" w:rsidR="00FC6476" w:rsidRDefault="00051F8F" w:rsidP="00FC647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 xml:space="preserve">S: will each choose two </w:t>
            </w:r>
            <w:proofErr w:type="gramStart"/>
            <w:r w:rsidRPr="0096221A">
              <w:rPr>
                <w:rFonts w:asciiTheme="majorHAnsi" w:hAnsiTheme="majorHAnsi" w:cs="Arial"/>
                <w:sz w:val="20"/>
                <w:szCs w:val="20"/>
              </w:rPr>
              <w:t>cards.</w:t>
            </w:r>
            <w:proofErr w:type="gramEnd"/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E139D74" w14:textId="25F77492" w:rsidR="00FC6476" w:rsidRPr="00FC6476" w:rsidRDefault="00FC6476" w:rsidP="00FC6476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utilisez ces cartes pour faire un nombres à deux chiffres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dis « 3 »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 votre nombre à la classe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1</w:t>
            </w:r>
            <w:proofErr w:type="gramStart"/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,2,3</w:t>
            </w:r>
            <w:proofErr w:type="gramEnd"/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  <w:r w:rsidRPr="00FC6476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 </w:t>
            </w:r>
          </w:p>
          <w:p w14:paraId="0545A80D" w14:textId="35356FED" w:rsidR="00051F8F" w:rsidRPr="0096221A" w:rsidRDefault="00051F8F" w:rsidP="00FC6476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7E9EF0D" w14:textId="77777777" w:rsidR="00051F8F" w:rsidRPr="0096221A" w:rsidRDefault="00051F8F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will both show their numbers to the class</w:t>
            </w:r>
          </w:p>
          <w:p w14:paraId="1484A329" w14:textId="6775E864" w:rsidR="00051F8F" w:rsidRPr="00FC6476" w:rsidRDefault="00051F8F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parlez avec votre partenaire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décidez lequel de ces nombres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plus grand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soyez prêts à expliquer comment vous le savez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68FB449" w14:textId="77777777" w:rsidR="00051F8F" w:rsidRPr="0096221A" w:rsidRDefault="00051F8F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will discuss with a partner</w:t>
            </w:r>
          </w:p>
          <w:p w14:paraId="420414CF" w14:textId="63706ED4" w:rsidR="00051F8F" w:rsidRPr="00FC6476" w:rsidRDefault="00051F8F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Ecoutons certaines de vos idées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.” </w:t>
            </w:r>
            <w:r w:rsidRPr="00A3108C">
              <w:rPr>
                <w:rFonts w:asciiTheme="majorHAnsi" w:hAnsiTheme="majorHAnsi" w:cs="Arial"/>
                <w:b/>
                <w:sz w:val="20"/>
                <w:szCs w:val="20"/>
              </w:rPr>
              <w:t>Choose a few partners to share with the class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080FDDD5" w14:textId="6AFA9ACF" w:rsidR="00051F8F" w:rsidRPr="0096221A" w:rsidRDefault="00051F8F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avez comparé les nombres à deux chiffres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vous avez fait en premier</w:t>
            </w: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6E6D00F7" w14:textId="77777777" w:rsidR="00051F8F" w:rsidRPr="0096221A" w:rsidRDefault="00051F8F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the tens</w:t>
            </w:r>
          </w:p>
          <w:p w14:paraId="66CAEFC6" w14:textId="761F916D" w:rsidR="00051F8F" w:rsidRPr="0096221A" w:rsidRDefault="00051F8F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Bien! Oui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comparez des nombres à deux chiffres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regardez toujours les dizaines en premier. Si les dizaines sont les mêmes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vous faites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partenaire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E6AEBDE" w14:textId="77777777" w:rsidR="00051F8F" w:rsidRPr="0096221A" w:rsidRDefault="00051F8F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will talk with partner.</w:t>
            </w:r>
          </w:p>
          <w:p w14:paraId="78E2E04C" w14:textId="2FA508F9" w:rsidR="00051F8F" w:rsidRPr="0096221A" w:rsidRDefault="00051F8F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si les unités sont aussi les mêmes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vous pouvez dire au sujet des deux nombres</w:t>
            </w: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243282BD" w14:textId="40CE46F4" w:rsidR="00051F8F" w:rsidRPr="0096221A" w:rsidRDefault="00051F8F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They were equal.</w:t>
            </w:r>
          </w:p>
          <w:p w14:paraId="7F64F17D" w14:textId="77777777" w:rsidR="005437E0" w:rsidRPr="0096221A" w:rsidRDefault="005437E0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08676C18" w14:textId="77B0F439" w:rsidR="005437E0" w:rsidRPr="0096221A" w:rsidRDefault="0096221A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5437E0" w:rsidRPr="0096221A">
              <w:rPr>
                <w:rFonts w:asciiTheme="majorHAnsi" w:hAnsiTheme="majorHAnsi" w:cs="Arial"/>
                <w:b/>
                <w:sz w:val="20"/>
                <w:szCs w:val="20"/>
              </w:rPr>
              <w:t>12 minutes)</w:t>
            </w:r>
          </w:p>
          <w:p w14:paraId="02AA8786" w14:textId="2DE7527C" w:rsidR="005437E0" w:rsidRPr="0096221A" w:rsidRDefault="005437E0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Arrange stud</w:t>
            </w:r>
            <w:r w:rsidR="00051F8F" w:rsidRPr="0096221A">
              <w:rPr>
                <w:rFonts w:asciiTheme="majorHAnsi" w:hAnsiTheme="majorHAnsi" w:cs="Arial"/>
                <w:sz w:val="20"/>
                <w:szCs w:val="20"/>
              </w:rPr>
              <w:t>ents in pairs</w:t>
            </w:r>
            <w:r w:rsidR="0008605B" w:rsidRPr="0096221A">
              <w:rPr>
                <w:rFonts w:asciiTheme="majorHAnsi" w:hAnsiTheme="majorHAnsi" w:cs="Arial"/>
                <w:sz w:val="20"/>
                <w:szCs w:val="20"/>
              </w:rPr>
              <w:t xml:space="preserve"> Each pair</w:t>
            </w:r>
            <w:r w:rsidRPr="0096221A">
              <w:rPr>
                <w:rFonts w:asciiTheme="majorHAnsi" w:hAnsiTheme="majorHAnsi" w:cs="Arial"/>
                <w:sz w:val="20"/>
                <w:szCs w:val="20"/>
              </w:rPr>
              <w:t xml:space="preserve"> should ha</w:t>
            </w:r>
            <w:r w:rsidR="0008605B" w:rsidRPr="0096221A">
              <w:rPr>
                <w:rFonts w:asciiTheme="majorHAnsi" w:hAnsiTheme="majorHAnsi" w:cs="Arial"/>
                <w:sz w:val="20"/>
                <w:szCs w:val="20"/>
              </w:rPr>
              <w:t>ve page 131 and number cards.</w:t>
            </w:r>
          </w:p>
          <w:p w14:paraId="0EFE2CCB" w14:textId="33ECAD46" w:rsidR="0008605B" w:rsidRPr="0096221A" w:rsidRDefault="0008605B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avec vos doigts dans l’air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écrire “petit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français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(part of </w:t>
            </w:r>
            <w:proofErr w:type="spellStart"/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less</w:t>
            </w:r>
            <w:proofErr w:type="spellEnd"/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than</w:t>
            </w:r>
            <w:proofErr w:type="spellEnd"/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  <w:p w14:paraId="2234F68F" w14:textId="7EDB2912" w:rsidR="0008605B" w:rsidRPr="0096221A" w:rsidRDefault="00A3108C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will write petit</w:t>
            </w:r>
          </w:p>
          <w:p w14:paraId="1729100D" w14:textId="42E8B417" w:rsidR="0008605B" w:rsidRPr="0096221A" w:rsidRDefault="0008605B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T: “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écrivez “grand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”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votre doigt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(part of </w:t>
            </w:r>
            <w:proofErr w:type="spellStart"/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greater</w:t>
            </w:r>
            <w:proofErr w:type="spellEnd"/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than</w:t>
            </w:r>
            <w:proofErr w:type="spellEnd"/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)”</w:t>
            </w:r>
          </w:p>
          <w:p w14:paraId="0F17D1AC" w14:textId="431FA014" w:rsidR="0008605B" w:rsidRPr="0096221A" w:rsidRDefault="00A3108C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S: will write grand</w:t>
            </w:r>
          </w:p>
          <w:p w14:paraId="2ADB28E5" w14:textId="6ED2975E" w:rsidR="0008605B" w:rsidRPr="00FC6476" w:rsidRDefault="0008605B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: 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Trop facile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</w:p>
          <w:p w14:paraId="02E4E538" w14:textId="77777777" w:rsidR="00990CA7" w:rsidRPr="0096221A" w:rsidRDefault="00990CA7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Write greater than, less than on the board</w:t>
            </w:r>
          </w:p>
          <w:p w14:paraId="151198E9" w14:textId="1F3978FE" w:rsidR="00990CA7" w:rsidRDefault="00990CA7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nous devons savoir comment écrire « égal à »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tous comment le dire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7AE375BF" w14:textId="0F9D9D6A" w:rsidR="00A3108C" w:rsidRPr="00A3108C" w:rsidRDefault="00A3108C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Montrer comment écrire égal à, et pratiquer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7C5BBA9F" w14:textId="6F014937" w:rsidR="00990CA7" w:rsidRDefault="00990CA7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A414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 maintenant vous savez comment l’écrire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3E10EEB4" w14:textId="77777777" w:rsidR="00A3108C" w:rsidRPr="0096221A" w:rsidRDefault="00A3108C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8278113" w14:textId="4270160F" w:rsidR="00990CA7" w:rsidRPr="00FC6476" w:rsidRDefault="00990CA7" w:rsidP="00990CA7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Jouons à un jeu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Retournez vos cartes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ne pas voir les nombres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partenaire va piocher deux cartes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va former un nombre à deux chiffres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Un partenaire va écrire son nombre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dans les cases du coté gauche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l’autre va écrire sur le coté droit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travaillez ensemble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décider de quel nombre est plus grand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Montrer où est l’espace entre les deux cases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ca dit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________.”</w:t>
            </w:r>
          </w:p>
          <w:p w14:paraId="1E8FA147" w14:textId="77777777" w:rsidR="00990CA7" w:rsidRPr="0096221A" w:rsidRDefault="00990CA7" w:rsidP="00990CA7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will point</w:t>
            </w:r>
          </w:p>
          <w:p w14:paraId="3D4F427E" w14:textId="60884623" w:rsidR="00C15F5D" w:rsidRPr="0096221A" w:rsidRDefault="00C15F5D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là ou vous écrirez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 petit que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 grand que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 égal à »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partenaire avec le nombre le plus grand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prend les carte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l’autre partenaire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les nombres sont égaux, vous gardez vos cartes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Dites à votre partenaire comment jouer le jeu. </w:t>
            </w:r>
          </w:p>
          <w:p w14:paraId="10ACD659" w14:textId="77777777" w:rsidR="00C15F5D" w:rsidRPr="0096221A" w:rsidRDefault="00C15F5D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will tell partner</w:t>
            </w:r>
          </w:p>
          <w:p w14:paraId="4A7459B9" w14:textId="66554A88" w:rsidR="00990CA7" w:rsidRPr="00FC6476" w:rsidRDefault="00C15F5D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Ok, vous êtes maintenant tous prêts pour jouer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oubli</w:t>
            </w:r>
            <w:r w:rsidR="00A4143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ez</w:t>
            </w:r>
            <w:bookmarkStart w:id="0" w:name="_GoBack"/>
            <w:bookmarkEnd w:id="0"/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comment écrire les mots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ici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Prêts? Partez</w:t>
            </w:r>
            <w:r w:rsidR="00990CA7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!”</w:t>
            </w:r>
          </w:p>
          <w:p w14:paraId="2B94B56E" w14:textId="77777777" w:rsidR="005437E0" w:rsidRPr="0096221A" w:rsidRDefault="005437E0" w:rsidP="00346544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03010E1D" w14:textId="77777777" w:rsidR="005437E0" w:rsidRPr="0096221A" w:rsidRDefault="005437E0" w:rsidP="00346544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96221A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5A871725" w14:textId="77777777" w:rsidR="005437E0" w:rsidRPr="0096221A" w:rsidRDefault="005437E0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B8FD185" w14:textId="138E6AC9" w:rsidR="005437E0" w:rsidRPr="00FC6476" w:rsidRDefault="00C15F5D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page 132</w:t>
            </w:r>
            <w:r w:rsidR="005437E0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Trouvez le numéro 1 et mettez votre doigt dessus</w:t>
            </w:r>
            <w:r w:rsidR="005437E0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27659517" w14:textId="77777777" w:rsidR="005437E0" w:rsidRPr="0096221A" w:rsidRDefault="005437E0" w:rsidP="00346544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Students will point to number 1</w:t>
            </w:r>
          </w:p>
          <w:p w14:paraId="7FE76E2B" w14:textId="7D9DF8F2" w:rsidR="005437E0" w:rsidRPr="00FC6476" w:rsidRDefault="005437E0" w:rsidP="00C15F5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T: “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juste comme dans le jeu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compare des nombres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 regardant les dizaines en premier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ensuite les unités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Lorsque l’on sait lequel est le plus grand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écrit le bon signe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pour plus grand que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A3108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plus petit que, ou égal à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</w:p>
          <w:p w14:paraId="7A563D06" w14:textId="7345ACE8" w:rsidR="00C15F5D" w:rsidRPr="00FC6476" w:rsidRDefault="00A3108C" w:rsidP="00C15F5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Dans le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numéro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1, on compare 25 et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16. 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regarder les dizaines et premier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2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dizaines est plus grand que 1 dizaine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 je n’ai même pas à comparer les unités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sais déjà que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25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plus grand que 1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6.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Ecrivez le signe pour plus grand que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moi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lisez avec moi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“25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plus grand que</w:t>
            </w:r>
            <w:r w:rsidR="00C15F5D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16”</w:t>
            </w:r>
          </w:p>
          <w:p w14:paraId="384154EF" w14:textId="2710EEE8" w:rsidR="00C15F5D" w:rsidRPr="0096221A" w:rsidRDefault="00C15F5D" w:rsidP="00C15F5D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will write in and read the comparison sentence</w:t>
            </w:r>
          </w:p>
          <w:p w14:paraId="6C7A5B62" w14:textId="77777777" w:rsidR="005437E0" w:rsidRPr="0096221A" w:rsidRDefault="005437E0" w:rsidP="00D1639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D10B0DE" w14:textId="77777777" w:rsidR="005437E0" w:rsidRPr="0096221A" w:rsidRDefault="005437E0" w:rsidP="00346544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  <w:u w:val="single"/>
              </w:rPr>
              <w:t>2 Students Do with Teacher:</w:t>
            </w:r>
          </w:p>
          <w:p w14:paraId="745E0EA2" w14:textId="293281E3" w:rsidR="005437E0" w:rsidRPr="00FC6476" w:rsidRDefault="005437E0" w:rsidP="0034654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de deux partenaires pour venir au tableau et montrer comment faire le numéro</w:t>
            </w:r>
            <w:r w:rsidR="00D16399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76462D2" w14:textId="178CBFB0" w:rsidR="005437E0" w:rsidRPr="0096221A" w:rsidRDefault="005437E0" w:rsidP="0034654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 xml:space="preserve">S: two students will come up and </w:t>
            </w:r>
            <w:r w:rsidR="00D16399" w:rsidRPr="0096221A">
              <w:rPr>
                <w:rFonts w:asciiTheme="majorHAnsi" w:hAnsiTheme="majorHAnsi" w:cs="Arial"/>
                <w:sz w:val="20"/>
                <w:szCs w:val="20"/>
              </w:rPr>
              <w:t>lead the class in doing number 2</w:t>
            </w:r>
            <w:r w:rsidRPr="0096221A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413009CD" w14:textId="77777777" w:rsidR="005437E0" w:rsidRPr="0096221A" w:rsidRDefault="005437E0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AF4CC72" w14:textId="77777777" w:rsidR="005437E0" w:rsidRPr="0096221A" w:rsidRDefault="005437E0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541C7C" w14:textId="2F3AD7AE" w:rsidR="005437E0" w:rsidRPr="0096221A" w:rsidRDefault="006314EC" w:rsidP="0034654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5437E0"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5 minutes) </w:t>
            </w:r>
          </w:p>
          <w:p w14:paraId="51D5B09D" w14:textId="68968AAF" w:rsidR="005437E0" w:rsidRPr="00FC6476" w:rsidRDefault="005437E0" w:rsidP="00346544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vous avez du temps pour vous entrainer</w:t>
            </w:r>
            <w:r w:rsidR="00D16399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tous les exercices jusqu’au numéro</w:t>
            </w:r>
            <w:r w:rsidR="00D16399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13,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comparez toujours les dizaines en premier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546F96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</w:t>
            </w:r>
            <w:r w:rsidR="00546F96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5 minutes.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Partez</w:t>
            </w:r>
            <w:r w:rsidR="00546F96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!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0DE562A3" w14:textId="77777777" w:rsidR="005437E0" w:rsidRPr="0096221A" w:rsidRDefault="005437E0" w:rsidP="0034654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will work independently</w:t>
            </w:r>
          </w:p>
          <w:p w14:paraId="3405B466" w14:textId="77777777" w:rsidR="005437E0" w:rsidRPr="0096221A" w:rsidRDefault="005437E0" w:rsidP="00346544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 xml:space="preserve">Walk around the room, watching students work. </w:t>
            </w:r>
          </w:p>
          <w:p w14:paraId="59E674D6" w14:textId="77777777" w:rsidR="005437E0" w:rsidRPr="0096221A" w:rsidRDefault="005437E0" w:rsidP="0034654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91D1007" w14:textId="1396F68B" w:rsidR="005437E0" w:rsidRPr="0096221A" w:rsidRDefault="00A41431" w:rsidP="0034654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Closing: (5 </w:t>
            </w:r>
            <w:r w:rsidR="005437E0" w:rsidRPr="0096221A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6AFCD806" w14:textId="77777777" w:rsidR="005437E0" w:rsidRPr="0096221A" w:rsidRDefault="005437E0" w:rsidP="0034654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>Gather students at the rug.</w:t>
            </w:r>
          </w:p>
          <w:p w14:paraId="0F3AE66E" w14:textId="7661FC18" w:rsidR="005437E0" w:rsidRPr="00FC6476" w:rsidRDefault="005437E0" w:rsidP="00546F9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 aujourd’hui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une dernière comparaison</w:t>
            </w:r>
            <w:r w:rsidR="00546F96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êtes une fille</w:t>
            </w:r>
            <w:r w:rsidR="00546F96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vous et rangez-vous ici</w:t>
            </w:r>
            <w:r w:rsidR="00546F96"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“</w:t>
            </w:r>
          </w:p>
          <w:p w14:paraId="10AFF5EA" w14:textId="77777777" w:rsidR="00546F96" w:rsidRPr="0096221A" w:rsidRDefault="00546F96" w:rsidP="00546F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girls will line up</w:t>
            </w:r>
          </w:p>
          <w:p w14:paraId="4979CEC6" w14:textId="713FB99F" w:rsidR="00546F96" w:rsidRPr="00FC6476" w:rsidRDefault="00546F96" w:rsidP="00546F9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“ 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 vous êtes un garçon rangez-vous ici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B5BE657" w14:textId="3EEF35B0" w:rsidR="00546F96" w:rsidRPr="0096221A" w:rsidRDefault="00546F96" w:rsidP="00546F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Boys will line up.</w:t>
            </w:r>
          </w:p>
          <w:p w14:paraId="79EB8736" w14:textId="1F63FDF0" w:rsidR="00546F96" w:rsidRPr="00FC6476" w:rsidRDefault="00546F96" w:rsidP="00546F9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Comptons combien il y en a de chaque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171825B5" w14:textId="77777777" w:rsidR="00546F96" w:rsidRPr="0096221A" w:rsidRDefault="00546F96" w:rsidP="00546F9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sz w:val="20"/>
                <w:szCs w:val="20"/>
              </w:rPr>
              <w:t>S: count together</w:t>
            </w:r>
          </w:p>
          <w:p w14:paraId="39D80E36" w14:textId="3D9B7AFF" w:rsidR="005437E0" w:rsidRPr="0096221A" w:rsidRDefault="00546F96" w:rsidP="006314E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6314EC" w:rsidRPr="006314EC">
              <w:rPr>
                <w:rFonts w:asciiTheme="majorHAnsi" w:hAnsiTheme="majorHAnsi" w:cs="Arial"/>
                <w:b/>
                <w:sz w:val="20"/>
                <w:szCs w:val="20"/>
              </w:rPr>
              <w:t>Write the 2 digits number on the board</w:t>
            </w:r>
            <w:r w:rsidR="006314E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 “ ______ est _________ que</w:t>
            </w:r>
            <w:r w:rsidRPr="00FC6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________.”</w:t>
            </w:r>
          </w:p>
        </w:tc>
      </w:tr>
      <w:tr w:rsidR="005437E0" w:rsidRPr="0096221A" w14:paraId="3FF37BDA" w14:textId="77777777" w:rsidTr="00A4143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4C3247A6" w14:textId="7FD28F52" w:rsidR="005437E0" w:rsidRPr="0096221A" w:rsidRDefault="005437E0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96221A" w:rsidRPr="0096221A" w14:paraId="65170D36" w14:textId="77777777" w:rsidTr="0096221A">
        <w:tc>
          <w:tcPr>
            <w:tcW w:w="10998" w:type="dxa"/>
            <w:gridSpan w:val="5"/>
            <w:shd w:val="clear" w:color="auto" w:fill="auto"/>
          </w:tcPr>
          <w:p w14:paraId="3F0CB20A" w14:textId="4062B9D1" w:rsidR="0096221A" w:rsidRPr="0096221A" w:rsidRDefault="0096221A" w:rsidP="0034654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6221A">
              <w:rPr>
                <w:rFonts w:asciiTheme="majorHAnsi" w:hAnsiTheme="majorHAnsi"/>
                <w:b/>
                <w:sz w:val="20"/>
                <w:szCs w:val="20"/>
              </w:rPr>
              <w:t>Page 134, passed put in English</w:t>
            </w:r>
          </w:p>
        </w:tc>
      </w:tr>
    </w:tbl>
    <w:p w14:paraId="7AE33E25" w14:textId="77777777" w:rsidR="00E97EF8" w:rsidRPr="0096221A" w:rsidRDefault="00E97EF8">
      <w:pPr>
        <w:rPr>
          <w:rFonts w:asciiTheme="majorHAnsi" w:hAnsiTheme="majorHAnsi"/>
          <w:sz w:val="20"/>
          <w:szCs w:val="20"/>
        </w:rPr>
      </w:pPr>
    </w:p>
    <w:sectPr w:rsidR="00E97EF8" w:rsidRPr="0096221A" w:rsidSect="005437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0"/>
    <w:rsid w:val="00051F8F"/>
    <w:rsid w:val="0008605B"/>
    <w:rsid w:val="000F6BF1"/>
    <w:rsid w:val="00346544"/>
    <w:rsid w:val="00401C32"/>
    <w:rsid w:val="004F23BD"/>
    <w:rsid w:val="005437E0"/>
    <w:rsid w:val="00546F96"/>
    <w:rsid w:val="006314EC"/>
    <w:rsid w:val="00681935"/>
    <w:rsid w:val="006F3B11"/>
    <w:rsid w:val="00840032"/>
    <w:rsid w:val="00876CD5"/>
    <w:rsid w:val="0096221A"/>
    <w:rsid w:val="00990CA7"/>
    <w:rsid w:val="00A3108C"/>
    <w:rsid w:val="00A41431"/>
    <w:rsid w:val="00C15F5D"/>
    <w:rsid w:val="00D16399"/>
    <w:rsid w:val="00E97EF8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7BE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E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E0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E0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E0"/>
    <w:rPr>
      <w:rFonts w:ascii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909</Words>
  <Characters>5182</Characters>
  <Application>Microsoft Macintosh Word</Application>
  <DocSecurity>0</DocSecurity>
  <Lines>43</Lines>
  <Paragraphs>12</Paragraphs>
  <ScaleCrop>false</ScaleCrop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Bagley</dc:creator>
  <cp:keywords/>
  <dc:description/>
  <cp:lastModifiedBy>Kaye Murdock</cp:lastModifiedBy>
  <cp:revision>4</cp:revision>
  <dcterms:created xsi:type="dcterms:W3CDTF">2012-09-13T00:51:00Z</dcterms:created>
  <dcterms:modified xsi:type="dcterms:W3CDTF">2012-10-01T03:14:00Z</dcterms:modified>
</cp:coreProperties>
</file>