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544F77" w:rsidRPr="00AC7F31" w14:paraId="6E952ADB" w14:textId="77777777" w:rsidTr="007C3D6B">
        <w:tc>
          <w:tcPr>
            <w:tcW w:w="3666" w:type="dxa"/>
            <w:shd w:val="solid" w:color="F2DBDB" w:themeColor="accent2" w:themeTint="33" w:fill="FF0000"/>
          </w:tcPr>
          <w:p w14:paraId="238A87D8" w14:textId="77777777" w:rsidR="00544F77" w:rsidRPr="00AC7F31" w:rsidRDefault="00544F77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2</w:t>
            </w:r>
          </w:p>
          <w:p w14:paraId="148A3333" w14:textId="77777777" w:rsidR="00544F77" w:rsidRDefault="00544F77" w:rsidP="0016723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14DAFB2E" w14:textId="77777777" w:rsidR="00544F77" w:rsidRPr="00544F77" w:rsidRDefault="00544F77" w:rsidP="001672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Lesson: 2-3</w:t>
            </w:r>
          </w:p>
          <w:p w14:paraId="2FE2CA69" w14:textId="77777777" w:rsidR="00544F77" w:rsidRPr="00544F77" w:rsidRDefault="00544F77" w:rsidP="001672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Near Doubles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2A7BE88D" w14:textId="77777777" w:rsidR="00544F77" w:rsidRPr="00AC7F31" w:rsidRDefault="00544F77" w:rsidP="00210F1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856C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A26AAC" w:rsidRPr="00AC7F31" w14:paraId="11A169D5" w14:textId="77777777" w:rsidTr="00544F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A1841" w14:textId="77777777" w:rsidR="00A26AAC" w:rsidRPr="00544F77" w:rsidRDefault="00A26AAC" w:rsidP="00210F16">
            <w:pPr>
              <w:rPr>
                <w:rFonts w:asciiTheme="majorHAnsi" w:hAnsiTheme="majorHAnsi"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r w:rsidR="00544F77" w:rsidRPr="00544F77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Domain: Operations and Algebraic Thinking</w:t>
            </w:r>
          </w:p>
        </w:tc>
      </w:tr>
      <w:tr w:rsidR="00A26AAC" w:rsidRPr="00AC7F31" w14:paraId="18371A48" w14:textId="77777777" w:rsidTr="00544F7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7865B95D" w14:textId="77777777" w:rsidR="00A26AAC" w:rsidRPr="00544F77" w:rsidRDefault="00A26AAC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71850C55" w14:textId="77777777" w:rsidR="00A26AAC" w:rsidRPr="00544F77" w:rsidRDefault="00A26AAC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A26AAC" w:rsidRPr="009D315D" w14:paraId="3A064C52" w14:textId="77777777" w:rsidTr="009E2DC0">
        <w:tc>
          <w:tcPr>
            <w:tcW w:w="5418" w:type="dxa"/>
            <w:gridSpan w:val="2"/>
          </w:tcPr>
          <w:p w14:paraId="14F80A4F" w14:textId="77777777" w:rsidR="00A26AAC" w:rsidRPr="002508DD" w:rsidRDefault="00A26AAC" w:rsidP="00210F16">
            <w:pPr>
              <w:rPr>
                <w:rFonts w:asciiTheme="majorHAnsi" w:hAnsiTheme="majorHAnsi"/>
                <w:sz w:val="20"/>
                <w:szCs w:val="20"/>
              </w:rPr>
            </w:pPr>
            <w:r w:rsidRPr="002508DD">
              <w:rPr>
                <w:rFonts w:asciiTheme="majorHAnsi" w:hAnsiTheme="majorHAnsi"/>
                <w:sz w:val="20"/>
                <w:szCs w:val="20"/>
              </w:rPr>
              <w:t xml:space="preserve">Students will master addition facts in which </w:t>
            </w:r>
            <w:r w:rsidR="00210F16" w:rsidRPr="002508DD">
              <w:rPr>
                <w:rFonts w:asciiTheme="majorHAnsi" w:hAnsiTheme="majorHAnsi"/>
                <w:sz w:val="20"/>
                <w:szCs w:val="20"/>
              </w:rPr>
              <w:t>the addends are one apart</w:t>
            </w:r>
            <w:r w:rsidRPr="002508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AB03D7D" w14:textId="77777777" w:rsidR="005673F6" w:rsidRPr="002508DD" w:rsidRDefault="005673F6" w:rsidP="00210F1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6338E26" w14:textId="77777777" w:rsidR="00210F16" w:rsidRPr="009E2DC0" w:rsidRDefault="00F34BCC" w:rsidP="00210F1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E2D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résoudre des additions dans lesquelles les termes de l’addition </w:t>
            </w:r>
            <w:r w:rsidR="005673F6" w:rsidRPr="009E2D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sont séparés de un.</w:t>
            </w:r>
          </w:p>
          <w:p w14:paraId="22E101F3" w14:textId="77777777" w:rsidR="00A26AAC" w:rsidRPr="00AC7F31" w:rsidRDefault="00A26AAC" w:rsidP="00210F1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5580" w:type="dxa"/>
            <w:gridSpan w:val="3"/>
          </w:tcPr>
          <w:p w14:paraId="2D149F52" w14:textId="77777777" w:rsidR="00A26AAC" w:rsidRPr="002508DD" w:rsidRDefault="00A26AAC" w:rsidP="00210F16">
            <w:pPr>
              <w:rPr>
                <w:rFonts w:asciiTheme="majorHAnsi" w:hAnsiTheme="majorHAnsi"/>
                <w:sz w:val="20"/>
                <w:szCs w:val="20"/>
              </w:rPr>
            </w:pPr>
            <w:r w:rsidRPr="002508DD">
              <w:rPr>
                <w:rFonts w:asciiTheme="majorHAnsi" w:hAnsiTheme="majorHAnsi"/>
                <w:sz w:val="20"/>
                <w:szCs w:val="20"/>
              </w:rPr>
              <w:t>Students will use the word double when talking about addition  problems in which both addends are the same.</w:t>
            </w:r>
          </w:p>
          <w:p w14:paraId="0B30D0AD" w14:textId="77777777" w:rsidR="005673F6" w:rsidRPr="002508DD" w:rsidRDefault="005673F6" w:rsidP="0030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AC2460D" w14:textId="77777777" w:rsidR="00A26AAC" w:rsidRPr="009E2DC0" w:rsidRDefault="00F34BCC" w:rsidP="00305D0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E2D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 mot double quand je parle des problèmes d’addition dans lesquel</w:t>
            </w:r>
            <w:r w:rsidR="00305D09" w:rsidRPr="009E2D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les les termes de l’addition sont les mêmes. </w:t>
            </w:r>
          </w:p>
        </w:tc>
      </w:tr>
      <w:tr w:rsidR="00A26AAC" w:rsidRPr="009D315D" w14:paraId="12D1665C" w14:textId="77777777" w:rsidTr="009E2DC0">
        <w:tc>
          <w:tcPr>
            <w:tcW w:w="5418" w:type="dxa"/>
            <w:gridSpan w:val="2"/>
          </w:tcPr>
          <w:p w14:paraId="1EAAB956" w14:textId="77777777" w:rsidR="00A26AAC" w:rsidRPr="009E2DC0" w:rsidRDefault="00A26AAC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2DC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694E007" w14:textId="77777777" w:rsidR="00A26AAC" w:rsidRPr="009E2DC0" w:rsidRDefault="00210F16" w:rsidP="00210F16">
            <w:pPr>
              <w:rPr>
                <w:rFonts w:asciiTheme="majorHAnsi" w:hAnsiTheme="majorHAnsi"/>
                <w:sz w:val="20"/>
                <w:szCs w:val="20"/>
              </w:rPr>
            </w:pPr>
            <w:r w:rsidRPr="009E2DC0">
              <w:rPr>
                <w:rFonts w:asciiTheme="majorHAnsi" w:hAnsiTheme="majorHAnsi"/>
                <w:sz w:val="20"/>
                <w:szCs w:val="20"/>
              </w:rPr>
              <w:t>Basic addition facts that are near doubles can be found using related d</w:t>
            </w:r>
            <w:r w:rsidR="00A26AAC" w:rsidRPr="009E2DC0">
              <w:rPr>
                <w:rFonts w:asciiTheme="majorHAnsi" w:hAnsiTheme="majorHAnsi"/>
                <w:sz w:val="20"/>
                <w:szCs w:val="20"/>
              </w:rPr>
              <w:t>oubles fact</w:t>
            </w:r>
            <w:r w:rsidRPr="009E2DC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68632077" w14:textId="77777777" w:rsidR="00A26AAC" w:rsidRPr="002508DD" w:rsidRDefault="00A26AAC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508DD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167232" w:rsidRPr="002508DD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2508D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DE170B6" w14:textId="77777777" w:rsidR="009E2DC0" w:rsidRDefault="00A26AAC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</w:p>
          <w:p w14:paraId="0CADDD26" w14:textId="77777777" w:rsidR="00A26AAC" w:rsidRPr="00AC7F31" w:rsidRDefault="00A26AAC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Read:  </w:t>
            </w:r>
          </w:p>
          <w:p w14:paraId="0509A4EB" w14:textId="77777777" w:rsidR="00A26AAC" w:rsidRPr="00AC7F31" w:rsidRDefault="00A26AAC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Write</w:t>
            </w:r>
            <w:r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5E0881FE" w14:textId="77777777" w:rsidR="00A26AAC" w:rsidRPr="00AC7F31" w:rsidRDefault="00167232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E2D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</w:t>
            </w:r>
            <w:r w:rsidR="004A553C"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 </w:t>
            </w:r>
            <w:r w:rsidR="009D2429"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double, </w:t>
            </w:r>
            <w:r w:rsidR="00F34B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l’addition avec le </w:t>
            </w:r>
            <w:r w:rsidR="009D2429"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double, </w:t>
            </w:r>
            <w:r w:rsidR="00F34B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</w:t>
            </w:r>
            <w:r w:rsidR="009D2429"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presque</w:t>
            </w:r>
            <w:r w:rsidR="0013354C"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double</w:t>
            </w:r>
          </w:p>
          <w:p w14:paraId="076FD713" w14:textId="77777777" w:rsidR="00A26AAC" w:rsidRPr="00AC7F31" w:rsidRDefault="00A26AAC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Sentence Frame: </w:t>
            </w:r>
          </w:p>
          <w:p w14:paraId="689AB9A9" w14:textId="77777777" w:rsidR="00A26AAC" w:rsidRPr="00AC7F31" w:rsidRDefault="009D2429" w:rsidP="009E2D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double est</w:t>
            </w:r>
            <w:r w:rsidR="00210F16"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_______.</w:t>
            </w:r>
          </w:p>
        </w:tc>
      </w:tr>
      <w:tr w:rsidR="00A26AAC" w:rsidRPr="009D315D" w14:paraId="156D8B1E" w14:textId="77777777" w:rsidTr="00544F7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650825C" w14:textId="77777777" w:rsidR="00A26AAC" w:rsidRPr="009E2DC0" w:rsidRDefault="00A26AAC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2DC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9A5B9F8" w14:textId="77777777" w:rsidR="00A26AAC" w:rsidRPr="009E2DC0" w:rsidRDefault="00210F16" w:rsidP="00210F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E2DC0">
              <w:rPr>
                <w:rFonts w:asciiTheme="majorHAnsi" w:hAnsiTheme="majorHAnsi"/>
                <w:b/>
                <w:sz w:val="20"/>
                <w:szCs w:val="20"/>
              </w:rPr>
              <w:t>Connecting cubes (Teaching tool 1</w:t>
            </w:r>
            <w:r w:rsidR="00A26AAC" w:rsidRPr="009E2DC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45DC41ED" w14:textId="77777777" w:rsidR="00167232" w:rsidRPr="009E2DC0" w:rsidRDefault="00167232" w:rsidP="00210F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E2DC0">
              <w:rPr>
                <w:rFonts w:asciiTheme="majorHAnsi" w:hAnsiTheme="majorHAnsi"/>
                <w:b/>
                <w:sz w:val="20"/>
                <w:szCs w:val="20"/>
              </w:rPr>
              <w:t>Guided Practice Page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DD9EAFA" w14:textId="77777777" w:rsidR="00A26AAC" w:rsidRPr="00AC7F31" w:rsidRDefault="00167232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A26AAC" w:rsidRPr="00AC7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1C185669" w14:textId="77777777" w:rsidR="00A26AAC" w:rsidRPr="00AC7F31" w:rsidRDefault="009D2429" w:rsidP="00210F1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 </w:t>
            </w:r>
            <w:r w:rsidR="00167232" w:rsidRPr="00AC7F3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double, </w:t>
            </w:r>
            <w:r w:rsidR="00F34BCC" w:rsidRPr="00F34BCC">
              <w:rPr>
                <w:rFonts w:asciiTheme="majorHAnsi" w:hAnsiTheme="majorHAnsi"/>
                <w:sz w:val="20"/>
                <w:szCs w:val="20"/>
                <w:lang w:val="fr-FR"/>
              </w:rPr>
              <w:t>une addition avec des doubles</w:t>
            </w:r>
            <w:r w:rsidR="00167232" w:rsidRPr="00F34BCC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167232" w:rsidRPr="00AC7F3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  <w:p w14:paraId="6CB7A899" w14:textId="77777777" w:rsidR="00A26AAC" w:rsidRPr="00AC7F31" w:rsidRDefault="00A26AAC" w:rsidP="00210F1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5CCBE719" w14:textId="77777777" w:rsidR="00A26AAC" w:rsidRPr="00AC7F31" w:rsidRDefault="00A26AAC" w:rsidP="00210F1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A26AAC" w:rsidRPr="00AC7F31" w14:paraId="588342AD" w14:textId="77777777" w:rsidTr="00544F7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267EB9FE" w14:textId="77777777" w:rsidR="00A26AAC" w:rsidRPr="00544F77" w:rsidRDefault="00A26AAC" w:rsidP="009E2D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66B212AC" w14:textId="77777777" w:rsidR="00A26AAC" w:rsidRPr="00544F77" w:rsidRDefault="00A26AAC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B512B4" w:rsidRPr="00544F77">
              <w:rPr>
                <w:rFonts w:asciiTheme="majorHAnsi" w:hAnsiTheme="majorHAnsi"/>
                <w:b/>
                <w:sz w:val="20"/>
                <w:szCs w:val="20"/>
              </w:rPr>
              <w:t xml:space="preserve"> 30 </w:t>
            </w:r>
            <w:proofErr w:type="spellStart"/>
            <w:r w:rsidR="00B512B4" w:rsidRPr="00544F77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A26AAC" w:rsidRPr="00AC7F31" w14:paraId="1446605D" w14:textId="77777777" w:rsidTr="00544F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EA1B9CB" w14:textId="77777777" w:rsidR="00A26AAC" w:rsidRPr="00AC7F31" w:rsidRDefault="00167232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44F77">
              <w:rPr>
                <w:rFonts w:asciiTheme="majorHAnsi" w:hAnsiTheme="majorHAnsi" w:cs="Arial"/>
                <w:b/>
                <w:sz w:val="20"/>
                <w:szCs w:val="20"/>
              </w:rPr>
              <w:t>Opening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A26AAC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5D617D81" w14:textId="77777777" w:rsidR="00A26AAC" w:rsidRPr="00AC7F31" w:rsidRDefault="00A26AAC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9E2DC0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appris plusieurs façons de résoudre des problèmes d’addition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10F16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Hier nous avons appris ce que sont les</w:t>
            </w:r>
            <w:r w:rsidR="00210F16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doubles.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nous allons apprendre ce que sont les </w:t>
            </w:r>
            <w:r w:rsidR="00AC7F31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p</w:t>
            </w:r>
            <w:r w:rsidR="00210F16" w:rsidRPr="00AC7F31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r</w:t>
            </w:r>
            <w:r w:rsidR="00AC7F31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esque</w:t>
            </w:r>
            <w:r w:rsidR="00210F16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doubles.</w:t>
            </w:r>
            <w:r w:rsidR="00210F16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018B920" w14:textId="77777777" w:rsidR="00210F16" w:rsidRPr="002508DD" w:rsidRDefault="00210F16" w:rsidP="009E2DC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Choose 10 students to come up and form two rows of five, standing side by side so the lines are even.</w:t>
            </w:r>
          </w:p>
          <w:p w14:paraId="4F82AC62" w14:textId="77777777" w:rsidR="00210F16" w:rsidRPr="00AC7F31" w:rsidRDefault="00210F16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élèves font un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double.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double est-ce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31C0870" w14:textId="77777777" w:rsidR="00210F16" w:rsidRPr="00AC7F31" w:rsidRDefault="00210F16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44F77">
              <w:rPr>
                <w:rFonts w:asciiTheme="majorHAnsi" w:hAnsiTheme="majorHAnsi" w:cs="Arial"/>
                <w:sz w:val="20"/>
                <w:szCs w:val="20"/>
              </w:rPr>
              <w:t>will say</w:t>
            </w: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double 5</w:t>
            </w:r>
          </w:p>
          <w:p w14:paraId="457C9A30" w14:textId="77777777" w:rsidR="00210F16" w:rsidRPr="00AC7F31" w:rsidRDefault="00210F16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 double de cinq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savons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qu’il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égal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dix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n’avons pas besoin de compter chaque élève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nous voyons deux rangées de cinq, nous savons que c’est un double de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5.”</w:t>
            </w:r>
          </w:p>
          <w:p w14:paraId="5833F3AF" w14:textId="77777777" w:rsidR="00210F16" w:rsidRPr="002508DD" w:rsidRDefault="00210F16" w:rsidP="009E2DC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 xml:space="preserve">Ask one more child to come up and join one of the lines. </w:t>
            </w:r>
          </w:p>
          <w:p w14:paraId="5C186F04" w14:textId="77777777" w:rsidR="00210F16" w:rsidRPr="00AC7F31" w:rsidRDefault="00210F16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“Hmmm.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toujours un double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p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ouces levés ou baissé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67E29E" w14:textId="77777777" w:rsidR="00210F16" w:rsidRPr="00AC7F31" w:rsidRDefault="00210F16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No, </w:t>
            </w:r>
            <w:r w:rsidRPr="00544F77">
              <w:rPr>
                <w:rFonts w:asciiTheme="majorHAnsi" w:hAnsiTheme="majorHAnsi" w:cs="Arial"/>
                <w:sz w:val="20"/>
                <w:szCs w:val="20"/>
              </w:rPr>
              <w:t>thumbs</w:t>
            </w: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down</w:t>
            </w:r>
          </w:p>
          <w:p w14:paraId="1C6D8C09" w14:textId="77777777" w:rsidR="00210F16" w:rsidRPr="00AC7F31" w:rsidRDefault="002701B5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“Mais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-ce un presque</w:t>
            </w:r>
            <w:r w:rsidR="00210F16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double?”</w:t>
            </w:r>
          </w:p>
          <w:p w14:paraId="31A1F76F" w14:textId="77777777" w:rsidR="00210F16" w:rsidRPr="00AC7F31" w:rsidRDefault="00584712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S: Oui</w:t>
            </w:r>
            <w:r w:rsidR="00210F16"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>!</w:t>
            </w:r>
          </w:p>
          <w:p w14:paraId="2D9E1FB6" w14:textId="77777777" w:rsidR="00F23C79" w:rsidRPr="002508DD" w:rsidRDefault="00F23C79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puis-je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pour le montrer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</w:t>
            </w:r>
            <w:r w:rsidRPr="002508DD">
              <w:rPr>
                <w:rFonts w:asciiTheme="majorHAnsi" w:hAnsiTheme="majorHAnsi" w:cs="Arial"/>
                <w:b/>
                <w:sz w:val="20"/>
                <w:szCs w:val="20"/>
              </w:rPr>
              <w:t>Call a student to come write on the board</w:t>
            </w:r>
          </w:p>
          <w:p w14:paraId="26336069" w14:textId="77777777" w:rsidR="00F23C79" w:rsidRPr="002508DD" w:rsidRDefault="00F23C79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S: will come write on the board</w:t>
            </w:r>
          </w:p>
          <w:p w14:paraId="1C066713" w14:textId="77777777" w:rsidR="00F23C79" w:rsidRPr="00AC7F31" w:rsidRDefault="00F23C79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701B5" w:rsidRPr="00AC7F31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presque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C7F31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double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CAD0FF5" w14:textId="77777777" w:rsidR="00210F16" w:rsidRPr="00AC7F31" w:rsidRDefault="00210F16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649EB7D" w14:textId="77777777" w:rsidR="00A26AAC" w:rsidRPr="002508DD" w:rsidRDefault="00A26AAC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167232" w:rsidRPr="002508DD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B512B4" w:rsidRPr="002508DD">
              <w:rPr>
                <w:rFonts w:asciiTheme="majorHAnsi" w:hAnsiTheme="majorHAnsi" w:cs="Arial"/>
                <w:b/>
                <w:sz w:val="20"/>
                <w:szCs w:val="20"/>
              </w:rPr>
              <w:t xml:space="preserve">5 </w:t>
            </w:r>
            <w:r w:rsidRPr="002508DD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CDC112B" w14:textId="77777777" w:rsidR="008C7A87" w:rsidRPr="002508DD" w:rsidRDefault="008C7A87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pensez-vous que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appelons ces nombres des p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resque doubles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E30D5C" w:rsidRPr="002508DD">
              <w:rPr>
                <w:rFonts w:asciiTheme="majorHAnsi" w:hAnsiTheme="majorHAnsi" w:cs="Arial"/>
                <w:b/>
                <w:sz w:val="20"/>
                <w:szCs w:val="20"/>
              </w:rPr>
              <w:t>Dites-le</w:t>
            </w:r>
            <w:r w:rsidR="004A6D27" w:rsidRPr="00250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à </w:t>
            </w:r>
            <w:r w:rsidR="00E30D5C" w:rsidRPr="002508DD">
              <w:rPr>
                <w:rFonts w:asciiTheme="majorHAnsi" w:hAnsiTheme="majorHAnsi" w:cs="Arial"/>
                <w:b/>
                <w:sz w:val="20"/>
                <w:szCs w:val="20"/>
              </w:rPr>
              <w:t>votre voisin</w:t>
            </w:r>
            <w:r w:rsidR="004A6D27" w:rsidRPr="002508DD">
              <w:rPr>
                <w:rFonts w:asciiTheme="majorHAnsi" w:hAnsiTheme="majorHAnsi" w:cs="Arial"/>
                <w:b/>
                <w:sz w:val="20"/>
                <w:szCs w:val="20"/>
              </w:rPr>
              <w:t>(e)</w:t>
            </w:r>
            <w:r w:rsidRPr="002508DD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18B9B00" w14:textId="77777777" w:rsidR="008C7A87" w:rsidRPr="002508DD" w:rsidRDefault="008C7A87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S: Turn and tell their neighbor</w:t>
            </w:r>
          </w:p>
          <w:p w14:paraId="73C63CEB" w14:textId="77777777" w:rsidR="00E81A1E" w:rsidRPr="00AC7F31" w:rsidRDefault="00E81A1E" w:rsidP="00E81A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“Alors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2+2=4.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une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cette addition peut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aider à trouver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2+3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71BEF1F" w14:textId="77777777" w:rsidR="00E81A1E" w:rsidRPr="009E2DC0" w:rsidRDefault="00E81A1E" w:rsidP="009E2DC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44F77">
              <w:rPr>
                <w:rFonts w:asciiTheme="majorHAnsi" w:hAnsiTheme="majorHAnsi" w:cs="Arial"/>
                <w:sz w:val="20"/>
                <w:szCs w:val="20"/>
              </w:rPr>
              <w:t>Pass out connecting</w:t>
            </w:r>
            <w:r w:rsidRPr="009E2DC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cubes</w:t>
            </w:r>
          </w:p>
          <w:p w14:paraId="25B13388" w14:textId="77777777" w:rsidR="00E81A1E" w:rsidRPr="00AC7F31" w:rsidRDefault="00E81A1E" w:rsidP="00E81A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Rejoignez votre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et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tilise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cubes pou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montrer que connaissant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peut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aider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résoudre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problè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4A6D27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2+3”</w:t>
            </w:r>
          </w:p>
          <w:p w14:paraId="1A12B5E2" w14:textId="77777777" w:rsidR="00E81A1E" w:rsidRPr="002508DD" w:rsidRDefault="00E81A1E" w:rsidP="00E81A1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S: will take time in partners to discuss and model</w:t>
            </w:r>
          </w:p>
          <w:p w14:paraId="5AD871E5" w14:textId="77777777" w:rsidR="00E81A1E" w:rsidRPr="00AC7F31" w:rsidRDefault="00E81A1E" w:rsidP="00E81A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 que certains parmi  vous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ont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fait deux piles de cubes de la même couleur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puis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ils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ont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ajouté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just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un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couleur diffé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rent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à une des piles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vous savez déjà que le double de 2 est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4,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de plus est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5,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c’est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cela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réponse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C965361" w14:textId="77777777" w:rsidR="00E81A1E" w:rsidRPr="00AC7F31" w:rsidRDefault="00E81A1E" w:rsidP="00E81A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voyez u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reconnaissez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presque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double,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résoudre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l’addition des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aj</w:t>
            </w:r>
            <w:r w:rsidR="00305D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outant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098D5F" w14:textId="77777777" w:rsidR="008C7A87" w:rsidRPr="00AC7F31" w:rsidRDefault="008C7A87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F816D3E" w14:textId="77777777" w:rsidR="00A26AAC" w:rsidRPr="00AC7F31" w:rsidRDefault="00A26AAC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44F77">
              <w:rPr>
                <w:rFonts w:asciiTheme="majorHAnsi" w:hAnsiTheme="majorHAnsi" w:cs="Arial"/>
                <w:b/>
                <w:sz w:val="20"/>
                <w:szCs w:val="20"/>
              </w:rPr>
              <w:t>Guided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Practice: (</w:t>
            </w:r>
            <w:r w:rsidR="00B512B4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2348EDEB" w14:textId="77777777" w:rsidR="00032591" w:rsidRPr="00AC7F31" w:rsidRDefault="00032591" w:rsidP="0003259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page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45. 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deux colonnes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 la colonne à gauche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DC16BB" w14:textId="77777777" w:rsidR="00032591" w:rsidRPr="002508DD" w:rsidRDefault="00032591" w:rsidP="00032591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S: will point to left column</w:t>
            </w:r>
          </w:p>
          <w:p w14:paraId="7960CCE9" w14:textId="77777777" w:rsidR="00032591" w:rsidRPr="00AC7F31" w:rsidRDefault="00032591" w:rsidP="0003259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ette colonne vous écrirez l’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2701B5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double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la colonne à droite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1A203B4" w14:textId="77777777" w:rsidR="00032591" w:rsidRPr="00AC7F31" w:rsidRDefault="00032591" w:rsidP="00032591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44F77">
              <w:rPr>
                <w:rFonts w:asciiTheme="majorHAnsi" w:hAnsiTheme="majorHAnsi" w:cs="Arial"/>
                <w:sz w:val="20"/>
                <w:szCs w:val="20"/>
              </w:rPr>
              <w:t>will</w:t>
            </w: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point</w:t>
            </w:r>
          </w:p>
          <w:p w14:paraId="0F74CA04" w14:textId="77777777" w:rsidR="00032591" w:rsidRPr="00AC7F31" w:rsidRDefault="00032591" w:rsidP="0003259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là où vous écrirez l’addi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tion de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presque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travailler avec votre partenaire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pour trouver trois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ur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additions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presque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les écrire dans les colonnes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U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vos cubes pour modé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iser ce que vous faites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terminez avant que je frappe les mains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entraînez-vous avec vos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additions de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 avec votre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76A2B8" w14:textId="77777777" w:rsidR="00032591" w:rsidRPr="002508DD" w:rsidRDefault="00032591" w:rsidP="00032591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S: Will use cubes to work on page 45 with a partner</w:t>
            </w:r>
          </w:p>
          <w:p w14:paraId="784D2736" w14:textId="77777777" w:rsidR="00A26AAC" w:rsidRPr="002508DD" w:rsidRDefault="00A26AAC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42E62F90" w14:textId="77777777" w:rsidR="00A26AAC" w:rsidRPr="002508DD" w:rsidRDefault="00A26AAC" w:rsidP="00210F1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13BB855A" w14:textId="77777777" w:rsidR="00A26AAC" w:rsidRPr="002508DD" w:rsidRDefault="00A26AAC" w:rsidP="00210F1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508DD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BF77F9A" w14:textId="77777777" w:rsidR="00A26AAC" w:rsidRPr="002508DD" w:rsidRDefault="00A26AAC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0E6E960" w14:textId="77777777" w:rsidR="00A26AAC" w:rsidRPr="00AC7F31" w:rsidRDefault="00032591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pouvez</w:t>
            </w:r>
            <w:r w:rsidR="00A26AAC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A26AAC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des jetons pour vous aider à résoudre les doubles</w:t>
            </w:r>
            <w:r w:rsidR="00A26AAC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Bientôt 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beaucoup d’entraînements,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les au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 mémorisés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nous n’aurons pas besoin de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jetons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46. </w:t>
            </w:r>
            <w:r w:rsidR="00A26AAC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ensemble le numé</w:t>
            </w:r>
            <w:r w:rsidR="00A26AAC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A26AAC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593C4B8" w14:textId="77777777" w:rsidR="00032591" w:rsidRPr="00AC7F31" w:rsidRDefault="00032591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“2+2=____. </w:t>
            </w:r>
            <w:r w:rsidR="009D539F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deux piles de 2. La réponse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0EE8D35" w14:textId="77777777" w:rsidR="00032591" w:rsidRPr="00AC7F31" w:rsidRDefault="00032591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44F77">
              <w:rPr>
                <w:rFonts w:asciiTheme="majorHAnsi" w:hAnsiTheme="majorHAnsi" w:cs="Arial"/>
                <w:sz w:val="20"/>
                <w:szCs w:val="20"/>
              </w:rPr>
              <w:t>chorally respond</w:t>
            </w: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>, 4</w:t>
            </w:r>
          </w:p>
          <w:p w14:paraId="5AABD855" w14:textId="77777777" w:rsidR="00032591" w:rsidRPr="00AC7F31" w:rsidRDefault="009D539F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Bien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ous avez déjà mémorisé cette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double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la 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second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numé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’addi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tion de </w:t>
            </w:r>
            <w:r w:rsidRPr="00AC7F31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presque </w:t>
            </w:r>
            <w:r w:rsidR="00032591" w:rsidRPr="00AC7F31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double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2+3=?”</w:t>
            </w:r>
          </w:p>
          <w:p w14:paraId="0D9729EC" w14:textId="77777777" w:rsidR="00A26AAC" w:rsidRPr="00AC7F31" w:rsidRDefault="00A26AAC" w:rsidP="00210F16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032591" w:rsidRPr="00544F77">
              <w:rPr>
                <w:rFonts w:asciiTheme="majorHAnsi" w:hAnsiTheme="majorHAnsi" w:cs="Arial"/>
                <w:sz w:val="20"/>
                <w:szCs w:val="20"/>
              </w:rPr>
              <w:t>chorally respond</w:t>
            </w:r>
            <w:r w:rsidR="00032591"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5</w:t>
            </w:r>
          </w:p>
          <w:p w14:paraId="7B2FF708" w14:textId="77777777" w:rsidR="00032591" w:rsidRPr="00AC7F31" w:rsidRDefault="000627DE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“Bien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Ceci est le même problè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vous avez résolu avec vos 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s, </w:t>
            </w:r>
            <w:proofErr w:type="spellStart"/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huh</w:t>
            </w:r>
            <w:proofErr w:type="spellEnd"/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chaque problè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cela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aura deux 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E30D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 ceux que nous venons de faire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addi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tions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 presque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24E5DD" w14:textId="77777777" w:rsidR="00A26AAC" w:rsidRPr="00AC7F31" w:rsidRDefault="00A26AAC" w:rsidP="00210F16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74934824" w14:textId="77777777" w:rsidR="00A26AAC" w:rsidRPr="00AC7F31" w:rsidRDefault="00A26AAC" w:rsidP="00210F16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 with Teacher:</w:t>
            </w:r>
          </w:p>
          <w:p w14:paraId="51438CD5" w14:textId="77777777" w:rsidR="00A26AAC" w:rsidRPr="00AC7F31" w:rsidRDefault="00A26AAC" w:rsidP="00210F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Demandons à deux él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èves venir ici pour nous aider à faire le numéro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2.”</w:t>
            </w:r>
            <w:bookmarkStart w:id="0" w:name="_GoBack"/>
            <w:bookmarkEnd w:id="0"/>
          </w:p>
          <w:p w14:paraId="277E95AE" w14:textId="77777777" w:rsidR="00A26AAC" w:rsidRPr="002508DD" w:rsidRDefault="00A26AAC" w:rsidP="00210F1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S: will come to the front and teach how to answer number 2</w:t>
            </w:r>
          </w:p>
          <w:p w14:paraId="3E4106EF" w14:textId="77777777" w:rsidR="00AE20EA" w:rsidRPr="00AC7F31" w:rsidRDefault="00AE20EA" w:rsidP="00210F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me semble que vous 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 compris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5FB3C6AE" w14:textId="77777777" w:rsidR="00A26AAC" w:rsidRPr="00AC7F31" w:rsidRDefault="00A26AAC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ED9E279" w14:textId="77777777" w:rsidR="00A26AAC" w:rsidRPr="00AC7F31" w:rsidRDefault="00A26AAC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Independent Practice: </w:t>
            </w:r>
            <w:proofErr w:type="gramStart"/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( 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proofErr w:type="gramEnd"/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57D1E697" w14:textId="77777777" w:rsidR="00A26AAC" w:rsidRPr="002508DD" w:rsidRDefault="00A26AAC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pouvez 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vos jetons pour vous aider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résoudre 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3 à </w:t>
            </w:r>
            <w:r w:rsidR="00032591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12. </w:t>
            </w:r>
            <w:r w:rsidR="000627DE" w:rsidRPr="002508DD">
              <w:rPr>
                <w:rFonts w:asciiTheme="majorHAnsi" w:hAnsiTheme="majorHAnsi" w:cs="Arial"/>
                <w:b/>
                <w:sz w:val="20"/>
                <w:szCs w:val="20"/>
              </w:rPr>
              <w:t>Vous avez</w:t>
            </w:r>
            <w:r w:rsidR="00032591" w:rsidRPr="00250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5 minutes </w:t>
            </w:r>
            <w:r w:rsidR="000627DE" w:rsidRPr="002508DD">
              <w:rPr>
                <w:rFonts w:asciiTheme="majorHAnsi" w:hAnsiTheme="majorHAnsi" w:cs="Arial"/>
                <w:b/>
                <w:sz w:val="20"/>
                <w:szCs w:val="20"/>
              </w:rPr>
              <w:t>pour travailler</w:t>
            </w:r>
            <w:r w:rsidR="00032591" w:rsidRPr="002508DD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0627DE" w:rsidRPr="002508DD">
              <w:rPr>
                <w:rFonts w:asciiTheme="majorHAnsi" w:hAnsiTheme="majorHAnsi" w:cs="Arial"/>
                <w:b/>
                <w:sz w:val="20"/>
                <w:szCs w:val="20"/>
              </w:rPr>
              <w:t>Allez-y</w:t>
            </w:r>
            <w:r w:rsidR="00032591" w:rsidRPr="002508DD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2A881642" w14:textId="77777777" w:rsidR="00AE20EA" w:rsidRPr="002508DD" w:rsidRDefault="00AE20EA" w:rsidP="00210F1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b/>
                <w:sz w:val="20"/>
                <w:szCs w:val="20"/>
              </w:rPr>
              <w:t>S: will work independently at desks.</w:t>
            </w:r>
          </w:p>
          <w:p w14:paraId="41CAAEEE" w14:textId="77777777" w:rsidR="00A26AAC" w:rsidRPr="002508DD" w:rsidRDefault="00A26AAC" w:rsidP="00210F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7A5A8D8" w14:textId="77777777" w:rsidR="00A26AAC" w:rsidRPr="002508DD" w:rsidRDefault="00167232" w:rsidP="00210F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B512B4" w:rsidRPr="002508DD"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r w:rsidR="00A26AAC" w:rsidRPr="002508DD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94B2BC7" w14:textId="77777777" w:rsidR="00A26AAC" w:rsidRPr="00544F77" w:rsidRDefault="00A26AAC" w:rsidP="00EC186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ajorHAnsi" w:hAnsiTheme="majorHAnsi" w:cs="Arial"/>
                <w:sz w:val="20"/>
                <w:szCs w:val="20"/>
              </w:rPr>
            </w:pPr>
            <w:r w:rsidRPr="00544F77">
              <w:rPr>
                <w:rFonts w:asciiTheme="majorHAnsi" w:hAnsiTheme="majorHAnsi" w:cs="Arial"/>
                <w:sz w:val="20"/>
                <w:szCs w:val="20"/>
              </w:rPr>
              <w:t>Gather students at the rug</w:t>
            </w:r>
          </w:p>
          <w:p w14:paraId="63DB4BCE" w14:textId="77777777" w:rsidR="00A26AAC" w:rsidRPr="00AC7F31" w:rsidRDefault="00A26AAC" w:rsidP="00210F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ce qu’est un double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F807DB" w14:textId="77777777" w:rsidR="00A26AAC" w:rsidRPr="002508DD" w:rsidRDefault="00A26AAC" w:rsidP="00210F1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508DD">
              <w:rPr>
                <w:rFonts w:asciiTheme="majorHAnsi" w:hAnsiTheme="majorHAnsi" w:cs="Arial"/>
                <w:sz w:val="20"/>
                <w:szCs w:val="20"/>
              </w:rPr>
              <w:t>S: turn and tell their partner</w:t>
            </w:r>
          </w:p>
          <w:p w14:paraId="3C525D96" w14:textId="77777777" w:rsidR="00A26AAC" w:rsidRPr="00AC7F31" w:rsidRDefault="00A26AAC" w:rsidP="00210F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aintenant dites à votre partena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ire ce qu’est un presque double</w:t>
            </w:r>
            <w:r w:rsidR="00B512B4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DD153D" w14:textId="77777777" w:rsidR="00A26AAC" w:rsidRPr="00AC7F31" w:rsidRDefault="00B512B4" w:rsidP="00210F16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44F77">
              <w:rPr>
                <w:rFonts w:asciiTheme="majorHAnsi" w:hAnsiTheme="majorHAnsi" w:cs="Arial"/>
                <w:sz w:val="20"/>
                <w:szCs w:val="20"/>
              </w:rPr>
              <w:t>will tell partner</w:t>
            </w:r>
          </w:p>
          <w:p w14:paraId="4284A585" w14:textId="77777777" w:rsidR="00B512B4" w:rsidRPr="00AC7F31" w:rsidRDefault="00B512B4" w:rsidP="00210F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que vous trouvez toujours d’abord le double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 vous ajoutez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de plus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un dernier presque double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 allez-y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partenaire et faites ensemble d’abord l’addi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tion de double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E4C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ensuite répondre 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problème de presque double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5+6= </w:t>
            </w:r>
            <w:r w:rsidR="000627DE"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Allez-y</w:t>
            </w:r>
            <w:r w:rsidRPr="00AC7F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75CEA96B" w14:textId="77777777" w:rsidR="00A26AAC" w:rsidRPr="00AC7F31" w:rsidRDefault="00B512B4" w:rsidP="00167232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7F3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44F77">
              <w:rPr>
                <w:rFonts w:asciiTheme="majorHAnsi" w:hAnsiTheme="majorHAnsi" w:cs="Arial"/>
                <w:sz w:val="20"/>
                <w:szCs w:val="20"/>
              </w:rPr>
              <w:t>will solve and share with partners</w:t>
            </w:r>
          </w:p>
        </w:tc>
      </w:tr>
      <w:tr w:rsidR="00A26AAC" w:rsidRPr="00AC7F31" w14:paraId="6B3C4ECC" w14:textId="77777777" w:rsidTr="00544F77">
        <w:tc>
          <w:tcPr>
            <w:tcW w:w="10998" w:type="dxa"/>
            <w:gridSpan w:val="5"/>
            <w:shd w:val="solid" w:color="F2DBDB" w:themeColor="accent2" w:themeTint="33" w:fill="FF0000"/>
          </w:tcPr>
          <w:p w14:paraId="6AEB983D" w14:textId="77777777" w:rsidR="00A26AAC" w:rsidRPr="00544F77" w:rsidRDefault="00A26AAC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4F7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A26AAC" w:rsidRPr="00AC7F31" w14:paraId="5B099C80" w14:textId="77777777" w:rsidTr="009E2DC0">
        <w:tc>
          <w:tcPr>
            <w:tcW w:w="10998" w:type="dxa"/>
            <w:gridSpan w:val="5"/>
          </w:tcPr>
          <w:p w14:paraId="03A7E505" w14:textId="77777777" w:rsidR="00A26AAC" w:rsidRPr="002508DD" w:rsidRDefault="005B5954" w:rsidP="00210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508DD">
              <w:rPr>
                <w:rFonts w:asciiTheme="majorHAnsi" w:hAnsiTheme="majorHAnsi"/>
                <w:b/>
                <w:sz w:val="20"/>
                <w:szCs w:val="20"/>
              </w:rPr>
              <w:t xml:space="preserve">Write three doubles facts on the board. Let students choose one, then have them draw a picture that shows the </w:t>
            </w:r>
            <w:r w:rsidRPr="002508DD">
              <w:rPr>
                <w:rFonts w:asciiTheme="majorHAnsi" w:hAnsiTheme="majorHAnsi"/>
                <w:b/>
                <w:i/>
                <w:sz w:val="20"/>
                <w:szCs w:val="20"/>
              </w:rPr>
              <w:t>near doubles</w:t>
            </w:r>
            <w:r w:rsidRPr="002508DD">
              <w:rPr>
                <w:rFonts w:asciiTheme="majorHAnsi" w:hAnsiTheme="majorHAnsi"/>
                <w:b/>
                <w:sz w:val="20"/>
                <w:szCs w:val="20"/>
              </w:rPr>
              <w:t xml:space="preserve"> story.</w:t>
            </w:r>
          </w:p>
        </w:tc>
      </w:tr>
    </w:tbl>
    <w:p w14:paraId="1AC5B05F" w14:textId="77777777" w:rsidR="00A26AAC" w:rsidRPr="002508DD" w:rsidRDefault="00A26AAC" w:rsidP="00A26AAC">
      <w:pPr>
        <w:rPr>
          <w:rFonts w:asciiTheme="majorHAnsi" w:hAnsiTheme="majorHAnsi"/>
          <w:sz w:val="20"/>
          <w:szCs w:val="20"/>
        </w:rPr>
      </w:pPr>
    </w:p>
    <w:p w14:paraId="2D0BE622" w14:textId="77777777" w:rsidR="00E97EF8" w:rsidRPr="002508DD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2508DD" w:rsidSect="00210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FC3367"/>
    <w:multiLevelType w:val="hybridMultilevel"/>
    <w:tmpl w:val="723C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05AF"/>
    <w:multiLevelType w:val="hybridMultilevel"/>
    <w:tmpl w:val="726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A5B1B"/>
    <w:multiLevelType w:val="hybridMultilevel"/>
    <w:tmpl w:val="E9E4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A26AAC"/>
    <w:rsid w:val="00032591"/>
    <w:rsid w:val="000627DE"/>
    <w:rsid w:val="0013354C"/>
    <w:rsid w:val="00167232"/>
    <w:rsid w:val="001B1723"/>
    <w:rsid w:val="00210F16"/>
    <w:rsid w:val="002508DD"/>
    <w:rsid w:val="002701B5"/>
    <w:rsid w:val="00305D09"/>
    <w:rsid w:val="004A553C"/>
    <w:rsid w:val="004A6D27"/>
    <w:rsid w:val="00544F77"/>
    <w:rsid w:val="005673F6"/>
    <w:rsid w:val="00584712"/>
    <w:rsid w:val="005B5954"/>
    <w:rsid w:val="00647617"/>
    <w:rsid w:val="0077017D"/>
    <w:rsid w:val="008C7A87"/>
    <w:rsid w:val="0096151B"/>
    <w:rsid w:val="009D2429"/>
    <w:rsid w:val="009D315D"/>
    <w:rsid w:val="009D539F"/>
    <w:rsid w:val="009E2DC0"/>
    <w:rsid w:val="00A26AAC"/>
    <w:rsid w:val="00A513F7"/>
    <w:rsid w:val="00A777B1"/>
    <w:rsid w:val="00AC080E"/>
    <w:rsid w:val="00AC7F31"/>
    <w:rsid w:val="00AE20EA"/>
    <w:rsid w:val="00B512B4"/>
    <w:rsid w:val="00BA04E1"/>
    <w:rsid w:val="00CE4C3C"/>
    <w:rsid w:val="00E21AD7"/>
    <w:rsid w:val="00E30D5C"/>
    <w:rsid w:val="00E81A1E"/>
    <w:rsid w:val="00E97EF8"/>
    <w:rsid w:val="00EC186B"/>
    <w:rsid w:val="00F23C79"/>
    <w:rsid w:val="00F3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D6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AC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A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AC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A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819</Words>
  <Characters>4669</Characters>
  <Application>Microsoft Macintosh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12</cp:revision>
  <cp:lastPrinted>2012-07-31T23:25:00Z</cp:lastPrinted>
  <dcterms:created xsi:type="dcterms:W3CDTF">2012-07-02T02:07:00Z</dcterms:created>
  <dcterms:modified xsi:type="dcterms:W3CDTF">2012-10-01T00:15:00Z</dcterms:modified>
</cp:coreProperties>
</file>