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339"/>
        <w:gridCol w:w="2079"/>
        <w:gridCol w:w="360"/>
        <w:gridCol w:w="1350"/>
        <w:gridCol w:w="3870"/>
      </w:tblGrid>
      <w:tr w:rsidR="008815DF" w:rsidRPr="00C11549" w14:paraId="48F2BDC3" w14:textId="77777777" w:rsidTr="00BC1484">
        <w:tc>
          <w:tcPr>
            <w:tcW w:w="3339" w:type="dxa"/>
            <w:shd w:val="solid" w:color="F2DBDB" w:themeColor="accent2" w:themeTint="33" w:fill="C0504D" w:themeFill="accent2"/>
          </w:tcPr>
          <w:p w14:paraId="6FB1638C" w14:textId="2CBE8B88" w:rsidR="008815DF" w:rsidRPr="00C11549" w:rsidRDefault="008815DF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7D76BB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3789" w:type="dxa"/>
            <w:gridSpan w:val="3"/>
            <w:shd w:val="solid" w:color="F2DBDB" w:themeColor="accent2" w:themeTint="33" w:fill="C0504D" w:themeFill="accent2"/>
          </w:tcPr>
          <w:p w14:paraId="7FC19BE4" w14:textId="5E29D0BC" w:rsidR="00C11549" w:rsidRPr="00C11549" w:rsidRDefault="008815DF" w:rsidP="00C115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 w:rsidR="00201479">
              <w:rPr>
                <w:rFonts w:asciiTheme="majorHAnsi" w:hAnsiTheme="majorHAnsi"/>
                <w:b/>
                <w:sz w:val="20"/>
                <w:szCs w:val="20"/>
              </w:rPr>
              <w:t>11.9</w:t>
            </w:r>
          </w:p>
          <w:p w14:paraId="492B5ED8" w14:textId="0F7AB4C9" w:rsidR="008815DF" w:rsidRPr="00C11549" w:rsidRDefault="00201479" w:rsidP="000A535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Problem Solving:  Use Logical Reasoning</w:t>
            </w:r>
          </w:p>
        </w:tc>
        <w:tc>
          <w:tcPr>
            <w:tcW w:w="3870" w:type="dxa"/>
            <w:shd w:val="solid" w:color="F2DBDB" w:themeColor="accent2" w:themeTint="33" w:fill="C0504D" w:themeFill="accent2"/>
          </w:tcPr>
          <w:p w14:paraId="1FE25565" w14:textId="494F8901" w:rsidR="008815DF" w:rsidRPr="00BC1484" w:rsidRDefault="00BC1484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BC1484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C11549" w14:paraId="35EA8304" w14:textId="77777777" w:rsidTr="00BC148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4E06897C" w:rsidR="00B31316" w:rsidRPr="007D76BB" w:rsidRDefault="00AA658E" w:rsidP="0020147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4A0E7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201479">
              <w:rPr>
                <w:rFonts w:asciiTheme="majorHAnsi" w:hAnsiTheme="majorHAnsi"/>
                <w:b/>
                <w:sz w:val="20"/>
                <w:szCs w:val="20"/>
              </w:rPr>
              <w:t xml:space="preserve">2.NBT.7                                                        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D76BB">
              <w:rPr>
                <w:rFonts w:asciiTheme="majorHAnsi" w:hAnsiTheme="majorHAnsi"/>
                <w:b/>
                <w:sz w:val="20"/>
                <w:szCs w:val="20"/>
              </w:rPr>
              <w:t>Numbers and Operations in Base Ten</w:t>
            </w:r>
          </w:p>
        </w:tc>
      </w:tr>
      <w:tr w:rsidR="008815DF" w:rsidRPr="00C11549" w14:paraId="71F41B94" w14:textId="77777777" w:rsidTr="00BC1484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0A97D6BE" w:rsidR="004251CC" w:rsidRPr="00C11549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103417" w14:paraId="62A07088" w14:textId="77777777" w:rsidTr="008815DF">
        <w:tc>
          <w:tcPr>
            <w:tcW w:w="5418" w:type="dxa"/>
            <w:gridSpan w:val="2"/>
          </w:tcPr>
          <w:p w14:paraId="1B442168" w14:textId="6B379406" w:rsidR="004251CC" w:rsidRDefault="007D76B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201479">
              <w:rPr>
                <w:rFonts w:asciiTheme="majorHAnsi" w:hAnsiTheme="majorHAnsi"/>
                <w:sz w:val="20"/>
                <w:szCs w:val="20"/>
              </w:rPr>
              <w:t>use logical reasoning to solve problems.</w:t>
            </w:r>
          </w:p>
          <w:p w14:paraId="03FC266E" w14:textId="33CD335A" w:rsidR="007D76BB" w:rsidRPr="00103417" w:rsidRDefault="00A1642A" w:rsidP="00BC1484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résoudre des </w:t>
            </w:r>
            <w:r w:rsidR="00BC148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problèmes</w:t>
            </w: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580" w:type="dxa"/>
            <w:gridSpan w:val="3"/>
          </w:tcPr>
          <w:p w14:paraId="7F6C3E90" w14:textId="2BB4A9B1" w:rsidR="007D76BB" w:rsidRPr="00C11549" w:rsidRDefault="007D76B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</w:t>
            </w:r>
            <w:r w:rsidR="00707D7C">
              <w:rPr>
                <w:rFonts w:asciiTheme="majorHAnsi" w:hAnsiTheme="majorHAnsi"/>
                <w:sz w:val="20"/>
                <w:szCs w:val="20"/>
              </w:rPr>
              <w:t xml:space="preserve"> listen to story problems with 3 clues in them and solve the problems.</w:t>
            </w:r>
          </w:p>
          <w:p w14:paraId="6EB64C77" w14:textId="63E297F4" w:rsidR="00706036" w:rsidRPr="00103417" w:rsidRDefault="00440C03" w:rsidP="00BC1484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écouter des </w:t>
            </w:r>
            <w:r w:rsidR="00BC148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problèmes</w:t>
            </w: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avec 3 indices et résoudre les problèmes.</w:t>
            </w:r>
          </w:p>
        </w:tc>
      </w:tr>
      <w:tr w:rsidR="008815DF" w:rsidRPr="00C11549" w14:paraId="5BF3AA95" w14:textId="77777777" w:rsidTr="008815DF">
        <w:tc>
          <w:tcPr>
            <w:tcW w:w="5418" w:type="dxa"/>
            <w:gridSpan w:val="2"/>
          </w:tcPr>
          <w:p w14:paraId="400A02A0" w14:textId="76A9254D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0E0029D0" w:rsidR="00BD4B6B" w:rsidRPr="00C11549" w:rsidRDefault="002014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Some problems can be solved by reasoning about the conditions in the problems.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70CE8CA4" w:rsidR="008815DF" w:rsidRPr="00C11549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697A3141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77777777" w:rsidR="004251CC" w:rsidRPr="00C11549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68F36196" w14:textId="1E14C37E" w:rsidR="00C8466E" w:rsidRPr="00C11549" w:rsidRDefault="00C8466E" w:rsidP="00440C03">
            <w:pPr>
              <w:rPr>
                <w:rFonts w:asciiTheme="majorHAnsi" w:hAnsiTheme="majorHAnsi"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</w:tc>
      </w:tr>
      <w:tr w:rsidR="008815DF" w:rsidRPr="00103417" w14:paraId="1215EF65" w14:textId="77777777" w:rsidTr="00BC1484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07FE0E99" w14:textId="738D4EA8" w:rsidR="0067692A" w:rsidRPr="004A0E77" w:rsidRDefault="00BC1484" w:rsidP="0041442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="0041442A">
              <w:rPr>
                <w:rFonts w:asciiTheme="majorHAnsi" w:hAnsiTheme="majorHAnsi"/>
                <w:sz w:val="20"/>
                <w:szCs w:val="20"/>
              </w:rPr>
              <w:t>ig</w:t>
            </w:r>
            <w:bookmarkStart w:id="0" w:name="_GoBack"/>
            <w:bookmarkEnd w:id="0"/>
            <w:r w:rsidR="0041442A">
              <w:rPr>
                <w:rFonts w:asciiTheme="majorHAnsi" w:hAnsiTheme="majorHAnsi"/>
                <w:sz w:val="20"/>
                <w:szCs w:val="20"/>
              </w:rPr>
              <w:t>gy bank or drawing of one on the board.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103417" w:rsidRDefault="00471883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03417"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Pr="0010341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</w:p>
          <w:p w14:paraId="28B064C0" w14:textId="22D440AA" w:rsidR="004251CC" w:rsidRPr="00440C03" w:rsidRDefault="00BC1484" w:rsidP="00440C03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u</w:t>
            </w:r>
            <w:r w:rsidR="00440C03" w:rsidRPr="00440C03">
              <w:rPr>
                <w:rFonts w:asciiTheme="majorHAnsi" w:hAnsiTheme="majorHAnsi"/>
                <w:sz w:val="20"/>
                <w:szCs w:val="20"/>
                <w:lang w:val="fr-FR"/>
              </w:rPr>
              <w:t>ne tirelire, des pennies</w:t>
            </w:r>
          </w:p>
        </w:tc>
      </w:tr>
      <w:tr w:rsidR="004251CC" w:rsidRPr="00C11549" w14:paraId="77AC6A44" w14:textId="77777777" w:rsidTr="00BC1484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C11549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084591B2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707D7C">
              <w:rPr>
                <w:rFonts w:asciiTheme="majorHAnsi" w:hAnsiTheme="majorHAnsi"/>
                <w:b/>
                <w:sz w:val="20"/>
                <w:szCs w:val="20"/>
              </w:rPr>
              <w:t xml:space="preserve">  25 – 30 minutes</w:t>
            </w:r>
          </w:p>
        </w:tc>
      </w:tr>
      <w:tr w:rsidR="004251CC" w:rsidRPr="00103417" w14:paraId="6C3689F4" w14:textId="77777777" w:rsidTr="00BC148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53811FC5" w:rsidR="008815DF" w:rsidRPr="00103417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03417">
              <w:rPr>
                <w:rFonts w:asciiTheme="majorHAnsi" w:hAnsiTheme="majorHAnsi" w:cs="Arial"/>
                <w:b/>
                <w:sz w:val="20"/>
                <w:szCs w:val="20"/>
              </w:rPr>
              <w:t>Opening</w:t>
            </w: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(</w:t>
            </w:r>
            <w:r w:rsidR="0041442A"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</w:t>
            </w: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706036"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minutes) </w:t>
            </w:r>
          </w:p>
          <w:p w14:paraId="34D0E021" w14:textId="4249E405" w:rsidR="007D76BB" w:rsidRPr="00440C03" w:rsidRDefault="0041442A" w:rsidP="0041442A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440C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appris différentes façons de trouver des sommes de nombres à 3 chiffres. Aujourd’hui, vous allez apprendre comment utiliser l’addition de nombres à 3 chiffres pour résoudre un problème</w:t>
            </w: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03D5720" w14:textId="77777777" w:rsidR="008815DF" w:rsidRPr="00103417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6C849F4A" w14:textId="3F5F4134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707D7C">
              <w:rPr>
                <w:rFonts w:asciiTheme="majorHAnsi" w:hAnsiTheme="majorHAnsi" w:cs="Arial"/>
                <w:b/>
                <w:sz w:val="20"/>
                <w:szCs w:val="20"/>
              </w:rPr>
              <w:t>15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490E64D4" w14:textId="71B9FCA0" w:rsidR="0041442A" w:rsidRPr="0041442A" w:rsidRDefault="0041442A" w:rsidP="0041442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erasers and markers.</w:t>
            </w:r>
          </w:p>
          <w:p w14:paraId="5975D1BE" w14:textId="424A44FA" w:rsidR="004D1B47" w:rsidRPr="009660D8" w:rsidRDefault="0041442A" w:rsidP="004D1B4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9660D8" w:rsidRPr="009660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</w:t>
            </w:r>
            <w:r w:rsidR="009660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dire une histoire mathématique. Vous devez écrire les informations importantes sur vos ardoises</w:t>
            </w: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FFB5C3C" w14:textId="405E0F08" w:rsidR="0041442A" w:rsidRPr="00103417" w:rsidRDefault="0041442A" w:rsidP="004D1B4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9660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Votre ami veut que vous deviniez combien elle a de pennies dans sa tirelire. Elle donne les indices suivants</w:t>
            </w: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</w:p>
          <w:p w14:paraId="25A045B1" w14:textId="313DCFD5" w:rsidR="0041442A" w:rsidRPr="00103417" w:rsidRDefault="0041442A" w:rsidP="004D1B4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9660D8" w:rsidRPr="009660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Indice</w:t>
            </w:r>
            <w:r w:rsidRPr="009660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#1</w:t>
            </w:r>
            <w:r w:rsidR="00C30BA3" w:rsidRPr="009660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</w:t>
            </w:r>
            <w:r w:rsidR="009660D8"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660D8" w:rsidRPr="009660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J’ai entre </w:t>
            </w:r>
            <w:r w:rsidR="009660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400 et 500 pennies. Vous pouvez écrire cette information comme cela</w:t>
            </w:r>
            <w:r w:rsidR="00C30BA3"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F270669" w14:textId="77777777" w:rsidR="00C30BA3" w:rsidRPr="00C30BA3" w:rsidRDefault="00C30BA3" w:rsidP="00C30BA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400-500 on the board.</w:t>
            </w:r>
          </w:p>
          <w:p w14:paraId="5ADD3F88" w14:textId="3B6254C4" w:rsidR="00C30BA3" w:rsidRPr="00103417" w:rsidRDefault="00C30BA3" w:rsidP="00C30BA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9660D8" w:rsidRPr="009660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Indice </w:t>
            </w: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#2: </w:t>
            </w:r>
            <w:r w:rsidR="009660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un nombre pair de pennies. Donc elle a un nombre pair et pas un nombre impair</w:t>
            </w: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17618E3" w14:textId="7A1DEE0A" w:rsidR="00C30BA3" w:rsidRPr="00103417" w:rsidRDefault="00C30BA3" w:rsidP="00C30BA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9660D8" w:rsidRPr="009660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Indice </w:t>
            </w: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#3: </w:t>
            </w:r>
            <w:r w:rsidR="009660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Le nombre de pennies est la somme de deux des nombres </w:t>
            </w:r>
            <w:r w:rsidR="00BC148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suivants:</w:t>
            </w: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382, 126, 272, 193, 356. </w:t>
            </w:r>
            <w:r w:rsidR="009660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Ecrivez ces nombres sur vos ardoises, comme cela</w:t>
            </w: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E29D041" w14:textId="2F160768" w:rsidR="00C30BA3" w:rsidRPr="00103417" w:rsidRDefault="00C30BA3" w:rsidP="00C30BA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9660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Quels sont les deux </w:t>
            </w:r>
            <w:r w:rsidR="00BC148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nombres?</w:t>
            </w: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378F247E" w14:textId="6049CC30" w:rsidR="00C30BA3" w:rsidRPr="009660D8" w:rsidRDefault="00C30BA3" w:rsidP="00C30BA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9660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veux que vous commenciez avec le 2</w:t>
            </w:r>
            <w:r w:rsidR="009660D8" w:rsidRPr="009660D8">
              <w:rPr>
                <w:rFonts w:asciiTheme="majorHAnsi" w:hAnsiTheme="majorHAnsi" w:cs="Arial"/>
                <w:b/>
                <w:sz w:val="20"/>
                <w:szCs w:val="20"/>
                <w:vertAlign w:val="superscript"/>
                <w:lang w:val="fr-FR"/>
              </w:rPr>
              <w:t>e</w:t>
            </w:r>
            <w:r w:rsidR="009660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indice. Il dit le nombre de pennies est pair. Donc quel nombre peut-on barrer ?</w:t>
            </w: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0AE9BF4D" w14:textId="37B1394D" w:rsidR="00C30BA3" w:rsidRPr="00103417" w:rsidRDefault="00C30BA3" w:rsidP="00C30BA3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103417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“193.”  </w:t>
            </w:r>
          </w:p>
          <w:p w14:paraId="24F0070E" w14:textId="0A4FBF40" w:rsidR="00C30BA3" w:rsidRPr="00103417" w:rsidRDefault="00C30BA3" w:rsidP="00C30BA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9660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dites à votre voisin pourquoi</w:t>
            </w: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0492128" w14:textId="4D623526" w:rsidR="00C30BA3" w:rsidRPr="00103417" w:rsidRDefault="00C30BA3" w:rsidP="00C30BA3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103417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10341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9660D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parce que c’est un nombre impair</w:t>
            </w:r>
            <w:r w:rsidRPr="0010341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1D3B0575" w14:textId="7C972CB5" w:rsidR="00C30BA3" w:rsidRPr="00103417" w:rsidRDefault="00C30BA3" w:rsidP="00C30BA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9660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Oui, parce que c’est un nombre impair et </w:t>
            </w:r>
            <w:r w:rsidR="00943D7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tous les autres nombres sont pairs. Donc n’importe quel nombre ajouté à ce nombre donnera une somme impaire</w:t>
            </w: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0B66AD4" w14:textId="405E25D9" w:rsidR="00C30BA3" w:rsidRPr="00943D77" w:rsidRDefault="00C30BA3" w:rsidP="00C30BA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943D7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nous devons commencer à additionner les nombres ensemble. Nous savons que le nombre est entre 400 et 500. Donc ça ne peut pas être 382 plus 356, ça serait plus grand de 700</w:t>
            </w: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8F56C12" w14:textId="1D72C517" w:rsidR="00C30BA3" w:rsidRPr="00103417" w:rsidRDefault="00C30BA3" w:rsidP="00C30BA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943D7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 quoi est égal 382 plus </w:t>
            </w:r>
            <w:r w:rsidR="00BC148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126?</w:t>
            </w:r>
            <w:r w:rsidR="00943D7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Additionnez ça sur vos ardoises puis montrez-moi vos ardoises</w:t>
            </w: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7F6C4F6" w14:textId="20EEC8AB" w:rsidR="00C30BA3" w:rsidRPr="00103417" w:rsidRDefault="00C30BA3" w:rsidP="00C30BA3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103417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103417">
              <w:rPr>
                <w:rFonts w:asciiTheme="majorHAnsi" w:hAnsiTheme="majorHAnsi" w:cs="Arial"/>
                <w:i/>
                <w:sz w:val="20"/>
                <w:szCs w:val="20"/>
              </w:rPr>
              <w:t>will add</w:t>
            </w:r>
            <w:r w:rsidRPr="0010341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382 plus 126.</w:t>
            </w:r>
          </w:p>
          <w:p w14:paraId="0394FD8D" w14:textId="17C3438C" w:rsidR="00C30BA3" w:rsidRPr="00943D77" w:rsidRDefault="00C30BA3" w:rsidP="00C30BA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943D7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ardoises. Oui, 382 plus 126 égale 508. Est-ce entre 400 et 500 ?</w:t>
            </w: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70F2DCBC" w14:textId="3903124C" w:rsidR="00C30BA3" w:rsidRPr="00103417" w:rsidRDefault="00C30BA3" w:rsidP="00C30BA3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103417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10341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Pr="00943D7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no</w:t>
            </w:r>
            <w:r w:rsidR="00943D77" w:rsidRPr="00943D7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</w:t>
            </w:r>
            <w:r w:rsidRPr="0010341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6E6D5971" w14:textId="79E2A22B" w:rsidR="00C30BA3" w:rsidRPr="00103417" w:rsidRDefault="00C30BA3" w:rsidP="00C30BA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943D77"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 126</w:t>
            </w:r>
            <w:r w:rsidR="00103417"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est le plus petit nombre, alors on peut déduire que </w:t>
            </w:r>
            <w:r w:rsid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la somme de 382 avec</w:t>
            </w:r>
            <w:r w:rsidR="00103417"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n’importe lequel des autres nombres sera</w:t>
            </w:r>
            <w:r w:rsidR="000F6A46"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plus grand que 500. Nous pouvons </w:t>
            </w:r>
            <w:r w:rsidR="00103417"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donc </w:t>
            </w:r>
            <w:r w:rsidR="000F6A46"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barrer 382</w:t>
            </w:r>
            <w:r w:rsidR="00AB2137"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ACFAF59" w14:textId="4E2848F3" w:rsidR="00AB2137" w:rsidRPr="000F6A46" w:rsidRDefault="00AB2137" w:rsidP="00C30BA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0F6A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reste 126, 272 et 356</w:t>
            </w: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FA319DD" w14:textId="50738DDE" w:rsidR="00AB2137" w:rsidRPr="000F6A46" w:rsidRDefault="00AB2137" w:rsidP="00C30BA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0F6A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Additionnez 126 et 272 sur vos ardoises.</w:t>
            </w: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1428FF70" w14:textId="7C142DF1" w:rsidR="00AB2137" w:rsidRDefault="00AB2137" w:rsidP="00C30BA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add 126 plus 272 equals 389.”</w:t>
            </w:r>
          </w:p>
          <w:p w14:paraId="5F99D1D0" w14:textId="316110F6" w:rsidR="00AB2137" w:rsidRPr="00103417" w:rsidRDefault="00AB2137" w:rsidP="00C30BA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0F6A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Lisez l’opération à votre voisin et vérifiez vos réponses</w:t>
            </w: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511BB3E" w14:textId="7CFAC686" w:rsidR="00AB2137" w:rsidRPr="00103417" w:rsidRDefault="00AB2137" w:rsidP="00C30BA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 “126 plus 272 </w:t>
            </w:r>
            <w:r w:rsidR="000F6A46" w:rsidRPr="000F6A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</w:t>
            </w: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389. </w:t>
            </w:r>
            <w:r w:rsidR="000F6A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plus petit que 400. Ce n’est pas bon</w:t>
            </w: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FE918B4" w14:textId="2A91A100" w:rsidR="00AB2137" w:rsidRPr="000F6A46" w:rsidRDefault="00AB2137" w:rsidP="00C30BA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0F6A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Et 126 plus </w:t>
            </w:r>
            <w:r w:rsidR="00BC148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356?</w:t>
            </w:r>
            <w:r w:rsidR="000F6A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Additionnez ces deux nombres sur vos ardoises</w:t>
            </w: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C2D89F2" w14:textId="47EF43E8" w:rsidR="00AB2137" w:rsidRDefault="00AB2137" w:rsidP="00C30BA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add 126 plus 356 equals 482.</w:t>
            </w:r>
          </w:p>
          <w:p w14:paraId="410CED2E" w14:textId="6E28F1D5" w:rsidR="00AB2137" w:rsidRPr="00103417" w:rsidRDefault="00AB2137" w:rsidP="00C30BA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0F6A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ardoises. Bien, maintenant vérifiez vos réponses avec votre voisin</w:t>
            </w: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1A7401A" w14:textId="779726F8" w:rsidR="00AB2137" w:rsidRPr="00103417" w:rsidRDefault="00AB2137" w:rsidP="00C30BA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 “126 plus 356, </w:t>
            </w:r>
            <w:r w:rsidR="000F6A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additionnons-les ensemble</w:t>
            </w: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4EE5C51" w14:textId="77777777" w:rsidR="00AB2137" w:rsidRPr="00AB2137" w:rsidRDefault="00AB2137" w:rsidP="00AB213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Add the numbers together showing regrouping.  </w:t>
            </w:r>
          </w:p>
          <w:p w14:paraId="485D1654" w14:textId="30C5D8BA" w:rsidR="00AB2137" w:rsidRPr="00103417" w:rsidRDefault="00AB2137" w:rsidP="00AB213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 “126 plus 356 </w:t>
            </w:r>
            <w:r w:rsidR="000F6A46" w:rsidRPr="000F6A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égale</w:t>
            </w: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482.”</w:t>
            </w:r>
          </w:p>
          <w:p w14:paraId="5DBBE532" w14:textId="4A884DBB" w:rsidR="00AB2137" w:rsidRPr="00103417" w:rsidRDefault="00AB2137" w:rsidP="00AB213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03417"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0F6A46" w:rsidRPr="000F6A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Est-ce que notre </w:t>
            </w:r>
            <w:r w:rsidR="000F6A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réponse est entre 400 et </w:t>
            </w:r>
            <w:r w:rsidR="00BC148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500?</w:t>
            </w: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3513F3F0" w14:textId="71AE8979" w:rsidR="00AB2137" w:rsidRPr="00103417" w:rsidRDefault="00AB2137" w:rsidP="00AB2137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103417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103417" w:rsidRPr="00103417">
              <w:rPr>
                <w:rFonts w:asciiTheme="majorHAnsi" w:hAnsiTheme="majorHAnsi" w:cs="Arial"/>
                <w:sz w:val="20"/>
                <w:szCs w:val="20"/>
                <w:lang w:val="fr-FR"/>
              </w:rPr>
              <w:t>: “</w:t>
            </w:r>
            <w:r w:rsidR="000F6A46" w:rsidRPr="000F6A4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oui</w:t>
            </w:r>
            <w:r w:rsidRPr="0010341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”</w:t>
            </w:r>
          </w:p>
          <w:p w14:paraId="31BC6FDB" w14:textId="09C29E81" w:rsidR="00AB2137" w:rsidRPr="00103417" w:rsidRDefault="00AB2137" w:rsidP="00AB213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lastRenderedPageBreak/>
              <w:t>T:  “</w:t>
            </w:r>
            <w:r w:rsidR="000F6A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Est-ce que c’est un nombre </w:t>
            </w:r>
            <w:r w:rsidR="00BC148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pair?</w:t>
            </w: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46ECF9E0" w14:textId="1E865F73" w:rsidR="00AB2137" w:rsidRPr="00103417" w:rsidRDefault="00AB2137" w:rsidP="00AB2137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103417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10341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0F6A46" w:rsidRPr="000F6A4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oui</w:t>
            </w:r>
            <w:r w:rsidRPr="0010341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”</w:t>
            </w:r>
          </w:p>
          <w:p w14:paraId="5A6AC387" w14:textId="7104D56A" w:rsidR="00AB2137" w:rsidRPr="00103417" w:rsidRDefault="00AB2137" w:rsidP="00AB213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0F6A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Est-ce que l’on a utilisé deux des nombres </w:t>
            </w:r>
            <w:r w:rsidR="00BC148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donnés?</w:t>
            </w: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5AA9CAA5" w14:textId="74A9470C" w:rsidR="00AB2137" w:rsidRPr="00103417" w:rsidRDefault="00AB2137" w:rsidP="00AB2137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103417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10341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0F6A46" w:rsidRPr="000F6A4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oui</w:t>
            </w:r>
            <w:r w:rsidRPr="0010341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48FE8DC1" w14:textId="73F154E2" w:rsidR="00AB2137" w:rsidRPr="00103417" w:rsidRDefault="00AB2137" w:rsidP="00AB213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0F6A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pense que nous avons trouvé </w:t>
            </w:r>
            <w:r w:rsidR="006023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notre </w:t>
            </w:r>
            <w:r w:rsidR="00BC148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réponse!</w:t>
            </w:r>
            <w:r w:rsidR="006023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Doit-on additionner les deux derniers nombres juste pour voir </w:t>
            </w:r>
            <w:proofErr w:type="gramStart"/>
            <w:r w:rsidR="006023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si il</w:t>
            </w:r>
            <w:proofErr w:type="gramEnd"/>
            <w:r w:rsidR="006023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y a deux réponses ?</w:t>
            </w:r>
          </w:p>
          <w:p w14:paraId="1168FE4B" w14:textId="0FB545A3" w:rsidR="00AB2137" w:rsidRPr="00AB2137" w:rsidRDefault="00AB2137" w:rsidP="00AB213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Add the last two 272 plus 356.</w:t>
            </w:r>
          </w:p>
          <w:p w14:paraId="62B24C4C" w14:textId="7A3FAF42" w:rsidR="008815DF" w:rsidRPr="00602340" w:rsidRDefault="00AB2137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6023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vous raconter une autre histoire avec des indices. Vous devez écrire les informations importante puis nous allons la résoudre ensemble</w:t>
            </w: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4020251" w14:textId="7031DD58" w:rsidR="00AB2137" w:rsidRPr="00CF7A6B" w:rsidRDefault="00AB2137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6023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J’ai plus de 600 pennies. </w:t>
            </w:r>
            <w:r w:rsidR="00CF7A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J’ai un nombre impair de pennies. Mon nombre de pennies est la somme de deux des nombres suivants : </w:t>
            </w: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348, 173, 328, 296, 257.”</w:t>
            </w:r>
          </w:p>
          <w:p w14:paraId="3C7893E1" w14:textId="77777777" w:rsidR="00AB2137" w:rsidRPr="00AB2137" w:rsidRDefault="00AB2137" w:rsidP="00AB213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Solve the problem the same as the previous problem.</w:t>
            </w:r>
          </w:p>
          <w:p w14:paraId="5A88F739" w14:textId="03579A0F" w:rsidR="00AB2137" w:rsidRPr="00CF7A6B" w:rsidRDefault="00AB2137" w:rsidP="00AB213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CF7A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l’heure d’un autre problème, mais je veux que vous faisiez celui-là tout seul. Souvenez-vous d’écrire les informations importantes</w:t>
            </w:r>
            <w:r w:rsidR="00707D7C"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524C694F" w14:textId="7FD0C1C8" w:rsidR="00AB2137" w:rsidRPr="00DC3D4C" w:rsidRDefault="00707D7C" w:rsidP="00AB213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 “Carmen </w:t>
            </w:r>
            <w:r w:rsidR="00DC3D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utilise des petits coquillages pour faire des colliers.</w:t>
            </w: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Pr="00103417">
              <w:rPr>
                <w:rFonts w:asciiTheme="majorHAnsi" w:hAnsiTheme="majorHAnsi" w:cs="Arial"/>
                <w:sz w:val="20"/>
                <w:szCs w:val="20"/>
                <w:lang w:val="fr-FR"/>
              </w:rPr>
              <w:t>(</w:t>
            </w:r>
            <w:r w:rsidRPr="00103417">
              <w:rPr>
                <w:rFonts w:asciiTheme="majorHAnsi" w:hAnsiTheme="majorHAnsi" w:cs="Arial"/>
                <w:sz w:val="20"/>
                <w:szCs w:val="20"/>
              </w:rPr>
              <w:t>draw a necklace on the board</w:t>
            </w:r>
            <w:r w:rsidRPr="00103417">
              <w:rPr>
                <w:rFonts w:asciiTheme="majorHAnsi" w:hAnsiTheme="majorHAnsi" w:cs="Arial"/>
                <w:sz w:val="20"/>
                <w:szCs w:val="20"/>
                <w:lang w:val="fr-FR"/>
              </w:rPr>
              <w:t>)</w:t>
            </w: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="00DC3D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Elle a utilisé un nombre pair de coquillages. Le nombre de coquillages est entre 300 et 400. Le nombre de coquillages est la somme de deux des nombres suivants :</w:t>
            </w: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260, 187, 216, 254, 158.”</w:t>
            </w:r>
          </w:p>
          <w:p w14:paraId="37CEE449" w14:textId="7DF12A53" w:rsidR="00707D7C" w:rsidRPr="00707D7C" w:rsidRDefault="00707D7C" w:rsidP="00707D7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If the students are getting it, allow the to complete the problem on their own.  If they are still struggling walk them through it like you did on the first one.</w:t>
            </w:r>
          </w:p>
          <w:p w14:paraId="6E78BA32" w14:textId="4E250C6E" w:rsidR="00707D7C" w:rsidRPr="00103417" w:rsidRDefault="00707D7C" w:rsidP="00707D7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1429C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Quels sont ces deux </w:t>
            </w:r>
            <w:r w:rsidR="00BC148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nombres?</w:t>
            </w: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6D25DFD1" w14:textId="77777777" w:rsidR="008815DF" w:rsidRPr="00103417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1E99727F" w14:textId="603A8077" w:rsidR="008815DF" w:rsidRPr="00103417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03417">
              <w:rPr>
                <w:rFonts w:asciiTheme="majorHAnsi" w:hAnsiTheme="majorHAnsi" w:cs="Arial"/>
                <w:b/>
                <w:sz w:val="20"/>
                <w:szCs w:val="20"/>
              </w:rPr>
              <w:t>Closing</w:t>
            </w: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(</w:t>
            </w:r>
            <w:r w:rsidR="00707D7C"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4</w:t>
            </w:r>
            <w:r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815DF"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minutes)</w:t>
            </w:r>
          </w:p>
          <w:p w14:paraId="06F7E961" w14:textId="7C044D5E" w:rsidR="00707D7C" w:rsidRPr="001429CC" w:rsidRDefault="00707D7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0341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1429C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Dernier problème du jour. Je vais le lire et vous allez le </w:t>
            </w:r>
            <w:r w:rsidR="00BC148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résoudre!</w:t>
            </w:r>
            <w:r w:rsidRPr="0010341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  <w:p w14:paraId="56F60BC3" w14:textId="7695F204" w:rsidR="00707D7C" w:rsidRPr="001429CC" w:rsidRDefault="00707D7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0341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T:  “Sara </w:t>
            </w:r>
            <w:r w:rsidR="001429C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 gardé des timbres</w:t>
            </w:r>
            <w:r w:rsidRPr="0010341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</w:t>
            </w:r>
            <w:r w:rsidRPr="00103417">
              <w:rPr>
                <w:rFonts w:asciiTheme="majorHAnsi" w:hAnsiTheme="majorHAnsi"/>
                <w:sz w:val="20"/>
                <w:szCs w:val="20"/>
                <w:lang w:val="fr-FR"/>
              </w:rPr>
              <w:t>(</w:t>
            </w:r>
            <w:r w:rsidRPr="00103417">
              <w:rPr>
                <w:rFonts w:asciiTheme="majorHAnsi" w:hAnsiTheme="majorHAnsi"/>
                <w:sz w:val="20"/>
                <w:szCs w:val="20"/>
              </w:rPr>
              <w:t>Draw a stamp on the board</w:t>
            </w:r>
            <w:r w:rsidRPr="00103417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) </w:t>
            </w:r>
            <w:r w:rsidR="001429C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Elle a gardé plus de 300 timbres. un nombre pair de timbres. Le nombre qu’elle a gardé est la somme de deux des nombres suivants : </w:t>
            </w:r>
            <w:r w:rsidRPr="0010341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149, 162, 157, 128, 135.”</w:t>
            </w:r>
          </w:p>
          <w:p w14:paraId="63BD4123" w14:textId="77777777" w:rsidR="00707D7C" w:rsidRPr="00707D7C" w:rsidRDefault="00707D7C" w:rsidP="00707D7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If the students are getting it, allow the to complete the problem on their own.  If they are still struggling walk them through it like you did on the first one.</w:t>
            </w:r>
          </w:p>
          <w:p w14:paraId="6B245750" w14:textId="4E2D476C" w:rsidR="004251CC" w:rsidRPr="00103417" w:rsidRDefault="00707D7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0341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1429C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Quels sont ces deux nombres ?</w:t>
            </w:r>
            <w:r w:rsidR="001429CC" w:rsidRPr="001034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</w:tc>
      </w:tr>
      <w:tr w:rsidR="004251CC" w:rsidRPr="00C11549" w14:paraId="4509F94E" w14:textId="77777777" w:rsidTr="00BC1484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C11549" w14:paraId="61B2CFDB" w14:textId="77777777" w:rsidTr="008815DF">
        <w:tc>
          <w:tcPr>
            <w:tcW w:w="10998" w:type="dxa"/>
            <w:gridSpan w:val="5"/>
          </w:tcPr>
          <w:p w14:paraId="72D7F3D9" w14:textId="03662098" w:rsidR="004251CC" w:rsidRPr="00C11549" w:rsidRDefault="0041442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Story Problems observation</w:t>
            </w:r>
          </w:p>
        </w:tc>
      </w:tr>
    </w:tbl>
    <w:p w14:paraId="23DCE07F" w14:textId="77777777" w:rsidR="0003446E" w:rsidRPr="00C11549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C1154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0516C2"/>
    <w:multiLevelType w:val="hybridMultilevel"/>
    <w:tmpl w:val="A1C21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9C7A00"/>
    <w:multiLevelType w:val="hybridMultilevel"/>
    <w:tmpl w:val="2E304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325F61"/>
    <w:multiLevelType w:val="hybridMultilevel"/>
    <w:tmpl w:val="A1BE63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B8338E"/>
    <w:multiLevelType w:val="hybridMultilevel"/>
    <w:tmpl w:val="28989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0A535B"/>
    <w:rsid w:val="000F6A46"/>
    <w:rsid w:val="00103417"/>
    <w:rsid w:val="001429CC"/>
    <w:rsid w:val="00161B37"/>
    <w:rsid w:val="001F21B2"/>
    <w:rsid w:val="00201479"/>
    <w:rsid w:val="00345B8A"/>
    <w:rsid w:val="0041442A"/>
    <w:rsid w:val="004251CC"/>
    <w:rsid w:val="00440C03"/>
    <w:rsid w:val="00471883"/>
    <w:rsid w:val="004A0E77"/>
    <w:rsid w:val="004D1B47"/>
    <w:rsid w:val="005658BE"/>
    <w:rsid w:val="005D475F"/>
    <w:rsid w:val="00602340"/>
    <w:rsid w:val="00620223"/>
    <w:rsid w:val="0067692A"/>
    <w:rsid w:val="006C6F25"/>
    <w:rsid w:val="006F27C9"/>
    <w:rsid w:val="00706036"/>
    <w:rsid w:val="00707D7C"/>
    <w:rsid w:val="00737A8B"/>
    <w:rsid w:val="007D76BB"/>
    <w:rsid w:val="00853196"/>
    <w:rsid w:val="008815DF"/>
    <w:rsid w:val="00943D77"/>
    <w:rsid w:val="009650B2"/>
    <w:rsid w:val="009660D8"/>
    <w:rsid w:val="009A6BD2"/>
    <w:rsid w:val="00A1642A"/>
    <w:rsid w:val="00A1681C"/>
    <w:rsid w:val="00A33D1C"/>
    <w:rsid w:val="00AA658E"/>
    <w:rsid w:val="00AB2137"/>
    <w:rsid w:val="00B049C7"/>
    <w:rsid w:val="00B31316"/>
    <w:rsid w:val="00B96565"/>
    <w:rsid w:val="00BC1484"/>
    <w:rsid w:val="00BD4B6B"/>
    <w:rsid w:val="00C11549"/>
    <w:rsid w:val="00C30BA3"/>
    <w:rsid w:val="00C8466E"/>
    <w:rsid w:val="00CD5DB9"/>
    <w:rsid w:val="00CF7A6B"/>
    <w:rsid w:val="00D65C24"/>
    <w:rsid w:val="00DC3D4C"/>
    <w:rsid w:val="00DE7298"/>
    <w:rsid w:val="00E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kmurdock</cp:lastModifiedBy>
  <cp:revision>13</cp:revision>
  <dcterms:created xsi:type="dcterms:W3CDTF">2012-05-16T04:36:00Z</dcterms:created>
  <dcterms:modified xsi:type="dcterms:W3CDTF">2013-03-25T19:15:00Z</dcterms:modified>
</cp:coreProperties>
</file>