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D83D8E" w:rsidRPr="00C11549" w14:paraId="48F2BDC3" w14:textId="77777777" w:rsidTr="009E58EA">
        <w:tc>
          <w:tcPr>
            <w:tcW w:w="3666" w:type="dxa"/>
            <w:shd w:val="solid" w:color="F2DBDB" w:themeColor="accent2" w:themeTint="33" w:fill="C0504D" w:themeFill="accent2"/>
          </w:tcPr>
          <w:p w14:paraId="1BCEFC95" w14:textId="77777777" w:rsidR="00D83D8E" w:rsidRPr="00C11549" w:rsidRDefault="00D83D8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DD96666" w14:textId="7AE0C276" w:rsidR="00D83D8E" w:rsidRPr="00C11549" w:rsidRDefault="00D83D8E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83A3026" w14:textId="1B912FBE" w:rsidR="00D83D8E" w:rsidRDefault="00D83D8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7-1</w:t>
            </w:r>
          </w:p>
          <w:p w14:paraId="24D1784F" w14:textId="13012447" w:rsidR="00D83D8E" w:rsidRPr="00C11549" w:rsidRDefault="00D83D8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Division as Sharing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7B08E646" w:rsidR="00D83D8E" w:rsidRPr="00D83D8E" w:rsidRDefault="00D83D8E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D83D8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D83D8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FD72A8D" w:rsidR="00B31316" w:rsidRPr="00707B13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07B13">
              <w:rPr>
                <w:rFonts w:asciiTheme="majorHAnsi" w:hAnsiTheme="majorHAnsi"/>
                <w:b/>
                <w:sz w:val="20"/>
                <w:szCs w:val="20"/>
              </w:rPr>
              <w:t>3.OA.2 also 3.OA.3, 3.OA.4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07B13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D83D8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DF1D1F" w14:paraId="62A07088" w14:textId="77777777" w:rsidTr="008815DF">
        <w:tc>
          <w:tcPr>
            <w:tcW w:w="5418" w:type="dxa"/>
            <w:gridSpan w:val="2"/>
          </w:tcPr>
          <w:p w14:paraId="17B71A35" w14:textId="77777777" w:rsidR="004251CC" w:rsidRDefault="00707B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models to solve division problems involving sharing and record solutions using division number sentences.</w:t>
            </w:r>
          </w:p>
          <w:p w14:paraId="03FC266E" w14:textId="6F44883D" w:rsidR="00707B13" w:rsidRPr="00D83D8E" w:rsidRDefault="00E77195" w:rsidP="00DF1D1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83D8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les </w:t>
            </w:r>
            <w:r w:rsidR="00D83D8E" w:rsidRPr="00D83D8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modèles</w:t>
            </w:r>
            <w:r w:rsidRPr="00D83D8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pour résoudre des divisions </w:t>
            </w:r>
            <w:r w:rsidR="00DF1D1F" w:rsidRPr="00D83D8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en tant que partage </w:t>
            </w:r>
            <w:r w:rsidRPr="00D83D8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et je peux formuler ma réponse à l’aide d’une division.</w:t>
            </w:r>
          </w:p>
        </w:tc>
        <w:tc>
          <w:tcPr>
            <w:tcW w:w="5580" w:type="dxa"/>
            <w:gridSpan w:val="3"/>
          </w:tcPr>
          <w:p w14:paraId="4CB70784" w14:textId="1C9C0FED" w:rsidR="00A33D1C" w:rsidRPr="00C11549" w:rsidRDefault="00707B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585D30">
              <w:rPr>
                <w:rFonts w:asciiTheme="majorHAnsi" w:hAnsiTheme="majorHAnsi"/>
                <w:sz w:val="20"/>
                <w:szCs w:val="20"/>
              </w:rPr>
              <w:t xml:space="preserve"> act as the teacher and ask questions to check the other students’ work.</w:t>
            </w:r>
          </w:p>
          <w:p w14:paraId="6EB64C77" w14:textId="0ED76156" w:rsidR="00706036" w:rsidRPr="00D83D8E" w:rsidRDefault="00E77195" w:rsidP="00E7719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83D8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jouer le rôle de  l’enseignant et poser des questions pour vérifier le travail de mes camarades.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8BF98F2" w:rsidR="00BD4B6B" w:rsidRPr="00C11549" w:rsidRDefault="00707B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real-world problems involving joining or separating equal groups or comparison can be solved using division.  Sharing involves separating equal groups and is one way to think about division.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09A5E757" w:rsidR="008815DF" w:rsidRPr="00A11D0D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A11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77195" w:rsidRPr="00D83D8E">
              <w:rPr>
                <w:rFonts w:asciiTheme="majorHAnsi" w:hAnsiTheme="majorHAnsi"/>
                <w:sz w:val="20"/>
                <w:szCs w:val="20"/>
                <w:lang w:val="fr-FR"/>
              </w:rPr>
              <w:t>diviser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D83D8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7D50F8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D2D32A0" w14:textId="77777777" w:rsidR="00BD4B6B" w:rsidRPr="00707B13" w:rsidRDefault="00707B1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39CDEB18" w14:textId="77777777" w:rsidR="00707B13" w:rsidRPr="00707B13" w:rsidRDefault="00707B1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(teaching tool 17)</w:t>
            </w:r>
          </w:p>
          <w:p w14:paraId="2031213E" w14:textId="77777777" w:rsidR="00707B13" w:rsidRPr="00707B13" w:rsidRDefault="00707B1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Teaching tool 41</w:t>
            </w:r>
          </w:p>
          <w:p w14:paraId="07FE0E99" w14:textId="3E58BCCE" w:rsidR="00707B13" w:rsidRPr="00C11549" w:rsidRDefault="00707B1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 – Guided and Independent Practice page 172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51CACACA" w:rsidR="008815DF" w:rsidRPr="00C11549" w:rsidRDefault="00D83D8E">
            <w:pPr>
              <w:rPr>
                <w:rFonts w:asciiTheme="majorHAnsi" w:hAnsiTheme="majorHAnsi"/>
                <w:sz w:val="20"/>
                <w:szCs w:val="20"/>
              </w:rPr>
            </w:pPr>
            <w:r w:rsidRPr="00D83D8E">
              <w:rPr>
                <w:rFonts w:asciiTheme="majorHAnsi" w:hAnsiTheme="majorHAnsi"/>
                <w:sz w:val="20"/>
                <w:szCs w:val="20"/>
                <w:lang w:val="fr-FR"/>
              </w:rPr>
              <w:t>équitablement</w:t>
            </w:r>
            <w:r w:rsidR="00585D30" w:rsidRPr="00D83D8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E77195" w:rsidRPr="00D83D8E">
              <w:rPr>
                <w:rFonts w:asciiTheme="majorHAnsi" w:hAnsiTheme="majorHAnsi"/>
                <w:sz w:val="20"/>
                <w:szCs w:val="20"/>
                <w:lang w:val="fr-FR"/>
              </w:rPr>
              <w:t>pommes</w:t>
            </w:r>
            <w:r w:rsidR="00585D30" w:rsidRPr="00D83D8E">
              <w:rPr>
                <w:rFonts w:asciiTheme="majorHAnsi" w:hAnsiTheme="majorHAnsi"/>
                <w:sz w:val="20"/>
                <w:szCs w:val="20"/>
                <w:lang w:val="fr-FR"/>
              </w:rPr>
              <w:t>, group</w:t>
            </w:r>
            <w:r w:rsidR="00E77195" w:rsidRPr="00D83D8E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="00585D30" w:rsidRPr="00D83D8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s, </w:t>
            </w:r>
            <w:r w:rsidR="00E77195" w:rsidRPr="00D83D8E">
              <w:rPr>
                <w:rFonts w:asciiTheme="majorHAnsi" w:hAnsiTheme="majorHAnsi"/>
                <w:sz w:val="20"/>
                <w:szCs w:val="20"/>
                <w:lang w:val="fr-FR"/>
              </w:rPr>
              <w:t>amis</w:t>
            </w:r>
            <w:r w:rsidR="00585D30" w:rsidRPr="00D83D8E">
              <w:rPr>
                <w:rFonts w:asciiTheme="majorHAnsi" w:hAnsiTheme="majorHAnsi"/>
                <w:sz w:val="20"/>
                <w:szCs w:val="20"/>
                <w:lang w:val="fr-FR"/>
              </w:rPr>
              <w:t>,</w:t>
            </w:r>
            <w:r w:rsidR="00585D30">
              <w:rPr>
                <w:rFonts w:asciiTheme="majorHAnsi" w:hAnsiTheme="majorHAnsi"/>
                <w:sz w:val="20"/>
                <w:szCs w:val="20"/>
              </w:rPr>
              <w:t xml:space="preserve"> crackers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D83D8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1C70C98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D15C69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C11549" w14:paraId="6C3689F4" w14:textId="77777777" w:rsidTr="00D83D8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10CD877" w14:textId="04B2D03E" w:rsidR="00A11D0D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A11D0D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B95D43E" w14:textId="03BE1F3C" w:rsidR="008815DF" w:rsidRPr="00A11D0D" w:rsidRDefault="00A11D0D" w:rsidP="00A11D0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DFC39AB" w14:textId="615E2E17" w:rsidR="008815DF" w:rsidRPr="00DF1D1F" w:rsidRDefault="00A11D0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F1D1F"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déjà que vous multipliez quand vous associez des groupes égaux</w:t>
            </w:r>
            <w:r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F1D1F"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une m</w:t>
            </w:r>
            <w:r w:rsid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ultiplication à l’aide de l’ardoise</w:t>
            </w:r>
            <w:r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F1D1F"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 fois 5?</w:t>
            </w:r>
            <w:r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FC0FCD1" w14:textId="77777777" w:rsidR="00A11D0D" w:rsidRPr="00A11D0D" w:rsidRDefault="00A11D0D" w:rsidP="00A11D0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 X 5 on the board.</w:t>
            </w:r>
          </w:p>
          <w:p w14:paraId="66FE618A" w14:textId="64C40ABE" w:rsidR="00A11D0D" w:rsidRDefault="00A11D0D" w:rsidP="00A11D0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problem.</w:t>
            </w:r>
          </w:p>
          <w:p w14:paraId="4FDD19BA" w14:textId="11A743E3" w:rsidR="00A11D0D" w:rsidRPr="00DF1D1F" w:rsidRDefault="00A11D0D" w:rsidP="00A11D0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F1D1F"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vos ardoises</w:t>
            </w:r>
            <w:r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56022DB" w14:textId="2F6340C0" w:rsidR="00A11D0D" w:rsidRPr="00DF1D1F" w:rsidRDefault="00A11D0D" w:rsidP="00A11D0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F1D1F"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DF1D1F"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Certains d’entre vous ont utilisé la même méthode pour résoudre le problème. </w:t>
            </w:r>
            <w:r w:rsidR="00DF1D1F"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Certains ont utilisé une méthode différente</w:t>
            </w:r>
            <w:r w:rsidR="00DF1D1F" w:rsidRPr="00DF1D1F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DF1D1F"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Tournez-vous vers votre voisin et vérifier si vous avez utilisé la m</w:t>
            </w:r>
            <w:r w:rsid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ême méthode</w:t>
            </w:r>
            <w:r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9D1A11" w14:textId="3CFDC270" w:rsidR="00A11D0D" w:rsidRDefault="00A11D0D" w:rsidP="00A11D0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check how they solved the problem.</w:t>
            </w:r>
          </w:p>
          <w:p w14:paraId="6E19085E" w14:textId="752BD0FF" w:rsidR="00A11D0D" w:rsidRPr="00DF1D1F" w:rsidRDefault="00A11D0D" w:rsidP="00A11D0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F1D1F"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avez utilisé la même méthode que votre voisin, levez votre pouce</w:t>
            </w:r>
            <w:r w:rsid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Pouce vers le bas si vous avez utilisé une méthode différente</w:t>
            </w:r>
            <w:r w:rsidRPr="00DF1D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1BAB259" w14:textId="5258EF9A" w:rsidR="00A11D0D" w:rsidRDefault="00A11D0D" w:rsidP="00A11D0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 or down.</w:t>
            </w:r>
          </w:p>
          <w:p w14:paraId="38ECB6AB" w14:textId="35FAE417" w:rsidR="00A11D0D" w:rsidRPr="00A1580A" w:rsidRDefault="00A11D0D" w:rsidP="00A11D0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Enseigner comment vous avez résolu ce problème à votre voisin.”</w:t>
            </w:r>
          </w:p>
          <w:p w14:paraId="503C9506" w14:textId="2CAFA924" w:rsidR="00A11D0D" w:rsidRDefault="00A11D0D" w:rsidP="00A11D0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teach each other how they solved the problem.</w:t>
            </w:r>
          </w:p>
          <w:p w14:paraId="69F8A1D1" w14:textId="41D08DC9" w:rsidR="00A11D0D" w:rsidRPr="00A1580A" w:rsidRDefault="00A11D0D" w:rsidP="00A11D0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apprendre qu’il faut diviser quand vous voulez partager </w:t>
            </w:r>
            <w:r w:rsid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quitablement</w:t>
            </w: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EE469E" w14:textId="310766E4" w:rsidR="00A11D0D" w:rsidRPr="00A1580A" w:rsidRDefault="00A11D0D" w:rsidP="00A11D0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Nommer des objets que vous partager avec vos amis</w:t>
            </w: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2F77DD9" w14:textId="731E8470" w:rsidR="00A11D0D" w:rsidRDefault="00A11D0D" w:rsidP="00A11D0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A1580A" w:rsidRPr="00D83D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jouet</w:t>
            </w:r>
            <w:r w:rsidRPr="00D83D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s, </w:t>
            </w:r>
            <w:r w:rsidR="00A1580A" w:rsidRPr="00D83D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crayons</w:t>
            </w:r>
            <w:r w:rsidRPr="00D83D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A1580A" w:rsidRPr="00D83D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autocollants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…”</w:t>
            </w:r>
          </w:p>
          <w:p w14:paraId="52728220" w14:textId="445F0989" w:rsidR="00A11D0D" w:rsidRDefault="00A11D0D" w:rsidP="00A11D0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faites-vous pour partager équitablement</w:t>
            </w: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1580A"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15222E5" w14:textId="571191B1" w:rsidR="00A11D0D" w:rsidRDefault="00A11D0D" w:rsidP="00A11D0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tell them how they decide how to share equally.</w:t>
            </w:r>
          </w:p>
          <w:p w14:paraId="580F1FB9" w14:textId="779F9224" w:rsidR="00A11D0D" w:rsidRPr="00A1580A" w:rsidRDefault="00A11D0D" w:rsidP="00A11D0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faites-vous pour partager équitablement?  </w:t>
            </w:r>
          </w:p>
          <w:p w14:paraId="47671420" w14:textId="2522A71F" w:rsidR="00A11D0D" w:rsidRPr="00A11D0D" w:rsidRDefault="00A11D0D" w:rsidP="00A11D0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72AC68B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585D30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909C5FF" w14:textId="19E09116" w:rsidR="00585D30" w:rsidRPr="00585D30" w:rsidRDefault="00585D30" w:rsidP="00585D3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Show the division sentence with every problem as you go.</w:t>
            </w:r>
          </w:p>
          <w:p w14:paraId="36DFBB5E" w14:textId="75C66CBF" w:rsidR="008815DF" w:rsidRPr="00A1580A" w:rsidRDefault="00A11D0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raconter un problème</w:t>
            </w: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2567E3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écriviez l’information la plus importante sur votre ardoise et que vous fassiez un dessin pour représenter l’histoire.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567E3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97067EE" w14:textId="6F44E8C9" w:rsidR="002567E3" w:rsidRDefault="002567E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Quatre amis cueillent </w:t>
            </w: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20 </w:t>
            </w:r>
            <w:r w:rsid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pommes</w:t>
            </w: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1580A"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l’information importante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E6C8D87" w14:textId="757E3740" w:rsidR="002567E3" w:rsidRDefault="002567E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down 4 friends (and draw them) and 20 apples (and draw them).</w:t>
            </w:r>
          </w:p>
          <w:p w14:paraId="061A8FD5" w14:textId="3157AE83" w:rsidR="002567E3" w:rsidRPr="00A1580A" w:rsidRDefault="002567E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vos ardoises</w:t>
            </w: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1F35474" w14:textId="6A9FE9CA" w:rsidR="002567E3" w:rsidRPr="00A1580A" w:rsidRDefault="002567E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vous avez écrit ‘4 amis’ et les avez dessiné</w:t>
            </w:r>
            <w:r w:rsid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fait de même pour 20 pommes</w:t>
            </w: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BFB4BED" w14:textId="535FBEBB" w:rsidR="002567E3" w:rsidRDefault="002567E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4 amis veulent partager les 20 pommes équitablement</w:t>
            </w: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pommes chaque ami va-t-il recevoir</w:t>
            </w: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1580A"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une </w:t>
            </w:r>
            <w:r w:rsidR="00A1580A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 pour </w:t>
            </w:r>
            <w:r w:rsidR="00A1580A"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trouver la réponse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9AF99F8" w14:textId="70B292C9" w:rsidR="002567E3" w:rsidRDefault="002567E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on the problem for 1 minute.</w:t>
            </w:r>
          </w:p>
          <w:p w14:paraId="3361868D" w14:textId="5C3B6C64" w:rsidR="002567E3" w:rsidRPr="002567E3" w:rsidRDefault="002567E3" w:rsidP="002567E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The teacher will write and draw 4 friends and 20 apples on the board.  </w:t>
            </w:r>
          </w:p>
          <w:p w14:paraId="0DB6251B" w14:textId="737578BE" w:rsidR="002567E3" w:rsidRPr="00A1580A" w:rsidRDefault="002567E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580A"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A15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3E6A64" w14:textId="4E88FDB8" w:rsidR="002567E3" w:rsidRPr="00C52AB5" w:rsidRDefault="002567E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A1580A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Faisons-le ensemble</w:t>
            </w: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52AB5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dessiné 4 amis et 20 pommes</w:t>
            </w: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</w:t>
            </w:r>
            <w:r w:rsidR="00C52AB5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groupes dois-je partager ces pommes</w:t>
            </w: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15DAB35" w14:textId="0B24739B" w:rsidR="002567E3" w:rsidRDefault="002567E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“4 </w:t>
            </w:r>
            <w:r w:rsidRPr="00D83D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group</w:t>
            </w:r>
            <w:r w:rsidR="00E77195" w:rsidRPr="00D83D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</w:t>
            </w:r>
            <w:r w:rsidRPr="00D83D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1E4A338" w14:textId="09B71AEC" w:rsidR="002567E3" w:rsidRPr="00C52AB5" w:rsidRDefault="002567E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52AB5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</w:t>
            </w: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518E3B7" w14:textId="63EE236F" w:rsidR="002567E3" w:rsidRPr="00C52AB5" w:rsidRDefault="002567E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52AB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C52A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C52AB5" w:rsidRPr="00C52A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qu’il y a 4 amis</w:t>
            </w:r>
            <w:r w:rsidRPr="00C52A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5B482F4" w14:textId="378E4DEB" w:rsidR="002567E3" w:rsidRPr="00C52AB5" w:rsidRDefault="002567E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52AB5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allons séparer ces pommes en 4 groupes parce qu’il y a 4 amis</w:t>
            </w: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76E8972" w14:textId="3CCD2080" w:rsidR="002567E3" w:rsidRPr="00C52AB5" w:rsidRDefault="002567E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52AB5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combien il y a de pommes dans chaque groupe</w:t>
            </w: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9CC6462" w14:textId="69263457" w:rsidR="002567E3" w:rsidRPr="00C52AB5" w:rsidRDefault="002567E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52AB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C52A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tell their neighbor, “</w:t>
            </w:r>
            <w:r w:rsidR="00C52AB5" w:rsidRPr="00C52A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</w:t>
            </w:r>
            <w:r w:rsidRPr="00C52A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5 </w:t>
            </w:r>
            <w:r w:rsidR="00C52AB5" w:rsidRPr="00C52A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pommes dans chaque groupe</w:t>
            </w:r>
            <w:r w:rsidRPr="00C52A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B14EC6B" w14:textId="5B9CF1E9" w:rsidR="002567E3" w:rsidRPr="00C52AB5" w:rsidRDefault="002567E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52AB5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a-t-il de pommes dans chaque</w:t>
            </w: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group</w:t>
            </w:r>
            <w:r w:rsidR="00E77195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2EF2369" w14:textId="2E5E8C38" w:rsidR="002567E3" w:rsidRDefault="002567E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“5 </w:t>
            </w:r>
            <w:r w:rsidR="00C52AB5">
              <w:rPr>
                <w:rFonts w:asciiTheme="majorHAnsi" w:hAnsiTheme="majorHAnsi" w:cs="Arial"/>
                <w:i/>
                <w:sz w:val="20"/>
                <w:szCs w:val="20"/>
              </w:rPr>
              <w:t xml:space="preserve">pommes </w:t>
            </w:r>
            <w:r w:rsidR="00C52AB5" w:rsidRPr="00D83D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dans chaque </w:t>
            </w:r>
            <w:r w:rsidRPr="00D83D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group</w:t>
            </w:r>
            <w:r w:rsidR="00E77195" w:rsidRPr="00D83D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C9CEB4D" w14:textId="4F2DD5B1" w:rsidR="002567E3" w:rsidRPr="00FB19D4" w:rsidRDefault="002567E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52AB5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Exact, si nous voulons diviser les 20 pommes en 4 groupes é</w:t>
            </w:r>
            <w:r w:rsid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gaux</w:t>
            </w: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52AB5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donc mettre 5 pommes dans chaque groupe</w:t>
            </w: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52AB5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Vérifions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7CCD310" w14:textId="77777777" w:rsidR="002567E3" w:rsidRPr="002567E3" w:rsidRDefault="002567E3" w:rsidP="002567E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4 groups of 5 apples on the board and count them to check the answer.</w:t>
            </w:r>
          </w:p>
          <w:p w14:paraId="4023C4C3" w14:textId="08AB173E" w:rsidR="008815DF" w:rsidRPr="00FB19D4" w:rsidRDefault="002567E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52AB5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partagez équitablement des objets, vous les séparez ou les divisez en groupes é</w:t>
            </w:r>
            <w:r w:rsid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gaux</w:t>
            </w:r>
            <w:r w:rsidR="00C52AB5" w:rsidRPr="00C52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division est une </w:t>
            </w:r>
            <w:r w:rsidR="00D83D8E"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qu’on utilise pour trouver un nombre de groupes et combien il peut y avoir dans </w:t>
            </w:r>
            <w:r w:rsid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groupe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404ED9" w14:textId="77777777" w:rsidR="008815DF" w:rsidRPr="00FB19D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550D3E6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585D30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34F9C992" w:rsidR="008815DF" w:rsidRPr="00FB19D4" w:rsidRDefault="00AE2B4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maintenant faire deux nouveaux problèmes avec nos 20 pommes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vous travaillerez par 2 pour résoudre 3 problèmes en utilisant la division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F470BF7" w14:textId="77777777" w:rsidR="00AE2B42" w:rsidRPr="00FB19D4" w:rsidRDefault="00AE2B4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6D7F77EC" w:rsidR="008815DF" w:rsidRPr="00FB19D4" w:rsidRDefault="00AE2B4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m’aider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9B0A756" w14:textId="7C58694D" w:rsidR="00AE2B42" w:rsidRPr="00AE2B42" w:rsidRDefault="00AE2B42" w:rsidP="00AE2B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teacher will choose a student to come up and help.</w:t>
            </w:r>
          </w:p>
          <w:p w14:paraId="66CCB4F1" w14:textId="7AF1BEFB" w:rsidR="00AE2B42" w:rsidRPr="00FB19D4" w:rsidRDefault="00AE2B42" w:rsidP="00AE2B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avons encore 20 </w:t>
            </w:r>
            <w:r w:rsidR="00D83D8E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pommes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maintenant seulement 2 personnes veulent faire une tarte aux pommes avec ces pommes.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Dessinez les pommes sur votre ardoise et divisez-les </w:t>
            </w:r>
            <w:r w:rsid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convenablement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Ceux qui sont assis sur le tapis doivent faire le même travail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FF066AE" w14:textId="149FE46D" w:rsidR="00AE2B42" w:rsidRDefault="00AE2B42" w:rsidP="00AE2B4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20 apples on the whiteboard and divide them by 2.</w:t>
            </w:r>
          </w:p>
          <w:p w14:paraId="550ADA73" w14:textId="3780C16F" w:rsidR="00AE2B42" w:rsidRPr="00FB19D4" w:rsidRDefault="00AE2B42" w:rsidP="00AE2B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pommes avons-nous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ED46F32" w14:textId="5434C7EE" w:rsidR="00AE2B42" w:rsidRDefault="00AE2B42" w:rsidP="00AE2B4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proofErr w:type="spellStart"/>
            <w:r w:rsidR="00FB19D4">
              <w:rPr>
                <w:rFonts w:asciiTheme="majorHAnsi" w:hAnsiTheme="majorHAnsi" w:cs="Arial"/>
                <w:i/>
                <w:sz w:val="20"/>
                <w:szCs w:val="20"/>
              </w:rPr>
              <w:t>il</w:t>
            </w:r>
            <w:proofErr w:type="spellEnd"/>
            <w:r w:rsidR="00FB19D4">
              <w:rPr>
                <w:rFonts w:asciiTheme="majorHAnsi" w:hAnsiTheme="majorHAnsi" w:cs="Arial"/>
                <w:i/>
                <w:sz w:val="20"/>
                <w:szCs w:val="20"/>
              </w:rPr>
              <w:t xml:space="preserve"> y 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20 </w:t>
            </w:r>
            <w:r w:rsidR="00FB19D4">
              <w:rPr>
                <w:rFonts w:asciiTheme="majorHAnsi" w:hAnsiTheme="majorHAnsi" w:cs="Arial"/>
                <w:i/>
                <w:sz w:val="20"/>
                <w:szCs w:val="20"/>
              </w:rPr>
              <w:t>pomme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s.”</w:t>
            </w:r>
          </w:p>
          <w:p w14:paraId="6ACB618B" w14:textId="3C91AFCF" w:rsidR="00AE2B42" w:rsidRPr="00FB19D4" w:rsidRDefault="00AE2B42" w:rsidP="00AE2B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personnes veulent se partager ces 20 pommes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CA4DC18" w14:textId="2A6B9E48" w:rsidR="00AE2B42" w:rsidRPr="00FB19D4" w:rsidRDefault="00AE2B42" w:rsidP="00AE2B4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B19D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FB19D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say, “2 </w:t>
            </w:r>
            <w:r w:rsidR="00FB19D4" w:rsidRPr="00FB19D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personnes veulent ces pommes</w:t>
            </w:r>
            <w:r w:rsidRPr="00FB19D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993D131" w14:textId="779F1EBB" w:rsidR="00AE2B42" w:rsidRPr="00FB19D4" w:rsidRDefault="00AE2B42" w:rsidP="00AE2B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B19D4"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pommes chaque personne va-t-elle recevoir si vous divisez équitablemen</w:t>
            </w:r>
            <w:r w:rsid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Pr="00FB1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061DC6B" w14:textId="009E0887" w:rsidR="00AE2B42" w:rsidRPr="00E35C87" w:rsidRDefault="00AE2B42" w:rsidP="00AE2B4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35C8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E35C8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E35C87" w:rsidRPr="00E35C8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chaque personne va recevoir</w:t>
            </w:r>
            <w:r w:rsidRPr="00E35C8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10 </w:t>
            </w:r>
            <w:r w:rsidR="00E35C87" w:rsidRPr="00E35C8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pommes</w:t>
            </w:r>
            <w:r w:rsidRPr="00E35C8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907EABA" w14:textId="78B26622" w:rsidR="00AE2B42" w:rsidRPr="00E35C87" w:rsidRDefault="00AE2B42" w:rsidP="00AE2B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les groupes ensemble pour vérifier votre réponse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25C4546" w14:textId="0522823D" w:rsidR="00AE2B42" w:rsidRPr="00AE2B42" w:rsidRDefault="00AE2B42" w:rsidP="00AE2B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Student and Teacher will count the groups of apples together.</w:t>
            </w:r>
          </w:p>
          <w:p w14:paraId="17EB21AC" w14:textId="4111FBD0" w:rsidR="00AE2B42" w:rsidRPr="00E35C87" w:rsidRDefault="00AE2B42" w:rsidP="00AE2B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2 groupes de 10 pommes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A632E13" w14:textId="77777777" w:rsidR="00AE2B42" w:rsidRPr="00E35C87" w:rsidRDefault="00AE2B42" w:rsidP="00AE2B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DEF866A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063A5BEC" w:rsidR="008815DF" w:rsidRPr="00E35C87" w:rsidRDefault="00AE2B4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2 élèves pour m’expliquer l’activité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047189B" w14:textId="0E5B4BD5" w:rsidR="00AE2B42" w:rsidRPr="00AE2B42" w:rsidRDefault="00AE2B42" w:rsidP="00AE2B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teacher will choose 2 students.</w:t>
            </w:r>
          </w:p>
          <w:p w14:paraId="5F78F1EF" w14:textId="43EF128E" w:rsidR="00AE2B42" w:rsidRPr="00E35C87" w:rsidRDefault="00AE2B42" w:rsidP="00AE2B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L’un de vous sera l’élève, l’autre jouera le </w:t>
            </w:r>
            <w:r w:rsid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rô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de l’enseignant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L’élève </w:t>
            </w:r>
            <w:r w:rsidR="00D83D8E"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résoudra</w:t>
            </w:r>
            <w:r w:rsid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problème et l’enseignant posera les questions.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 amis ont ramassé 20 pommes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Ils veulent partager les pommes équitablement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pommes chaque ami va-t-il recevoir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B455C4F" w14:textId="097F62C7" w:rsidR="00AE2B42" w:rsidRPr="00E35C87" w:rsidRDefault="00AE2B42" w:rsidP="00AE2B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L’enseignant doit poser 3 questions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“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a-t-il de po</w:t>
            </w:r>
            <w:r w:rsid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mmes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585D30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“</w:t>
            </w:r>
            <w:r w:rsid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a-t-il d’amis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?”, </w:t>
            </w:r>
            <w:r w:rsidR="00585D30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and “</w:t>
            </w:r>
            <w:r w:rsid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pommes chaque ami va-t-il recevoir de pommes</w:t>
            </w:r>
            <w:r w:rsidR="00585D30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5E88B83" w14:textId="4841B1A0" w:rsidR="00AE2B42" w:rsidRDefault="00AE2B42" w:rsidP="00AE2B4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20 divided by 5.</w:t>
            </w:r>
          </w:p>
          <w:p w14:paraId="163AE229" w14:textId="4966692E" w:rsidR="00AE2B42" w:rsidRDefault="00AE2B42" w:rsidP="00AE2B4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ask the following questions</w:t>
            </w:r>
          </w:p>
          <w:p w14:paraId="527D7267" w14:textId="77777777" w:rsidR="00E35C87" w:rsidRPr="00E35C87" w:rsidRDefault="00E35C87" w:rsidP="00AE2B42">
            <w:pPr>
              <w:ind w:left="72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35C87">
              <w:rPr>
                <w:rFonts w:asciiTheme="majorHAnsi" w:hAnsiTheme="majorHAnsi" w:cs="Arial"/>
                <w:sz w:val="20"/>
                <w:szCs w:val="20"/>
                <w:lang w:val="fr-FR"/>
              </w:rPr>
              <w:t>“combien y a-t-il de pommes?”</w:t>
            </w:r>
            <w:r w:rsidRPr="00E35C8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</w:p>
          <w:p w14:paraId="612F9250" w14:textId="2F04800F" w:rsidR="00E35C87" w:rsidRPr="00E35C87" w:rsidRDefault="00E35C87" w:rsidP="00AE2B42">
            <w:pPr>
              <w:ind w:left="720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35C87">
              <w:rPr>
                <w:rFonts w:asciiTheme="majorHAnsi" w:hAnsiTheme="majorHAnsi" w:cs="Arial"/>
                <w:sz w:val="20"/>
                <w:szCs w:val="20"/>
                <w:lang w:val="fr-FR"/>
              </w:rPr>
              <w:t>“combien y a-t-il d’amis?”</w:t>
            </w:r>
          </w:p>
          <w:p w14:paraId="311DDDDC" w14:textId="47C0F8E4" w:rsidR="00E35C87" w:rsidRPr="00E35C87" w:rsidRDefault="00E35C87" w:rsidP="00585D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               </w:t>
            </w:r>
            <w:r w:rsidRPr="00E35C87">
              <w:rPr>
                <w:rFonts w:asciiTheme="majorHAnsi" w:hAnsiTheme="majorHAnsi" w:cs="Arial"/>
                <w:sz w:val="20"/>
                <w:szCs w:val="20"/>
                <w:lang w:val="fr-FR"/>
              </w:rPr>
              <w:t>“combien de pommes chaque ami va-t-il recevoir de pommes?”</w:t>
            </w:r>
          </w:p>
          <w:p w14:paraId="53D4F020" w14:textId="4B50DF16" w:rsidR="00585D30" w:rsidRPr="00E35C87" w:rsidRDefault="00585D30" w:rsidP="00585D3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vous pouvez retourner au tapis</w:t>
            </w: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4CD83C8" w14:textId="77777777" w:rsidR="00AE2B42" w:rsidRPr="00E35C87" w:rsidRDefault="00AE2B42" w:rsidP="00AE2B42">
            <w:pPr>
              <w:ind w:left="720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4CD2A17C" w:rsidR="00706036" w:rsidRPr="0076559C" w:rsidRDefault="00585D3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35C87" w:rsidRPr="00E35C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Ok, je veux que chacun d’entre vous </w:t>
            </w:r>
            <w:r w:rsidR="00D83D8E"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résolve</w:t>
            </w:r>
            <w:r w:rsidR="00E35C87"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autre problème</w:t>
            </w:r>
            <w:r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6559C"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allez travailler par 2.</w:t>
            </w:r>
            <w:r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76559C" w:rsidRPr="00D83D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personne sera l’élève et fera le problème</w:t>
            </w:r>
            <w:r w:rsidR="0076559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6559C" w:rsidRPr="007655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L’autre personne sera l’enseignant et posera les questions à l’élève</w:t>
            </w:r>
            <w:r w:rsidRPr="007655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559C" w:rsidRPr="007655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j’écrirai un autre problème au tableau et vous échangerez les r</w:t>
            </w:r>
            <w:r w:rsidR="007655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ôles</w:t>
            </w:r>
            <w:r w:rsidRPr="007655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55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</w:t>
            </w:r>
            <w:r w:rsidRPr="007655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 minutes.”</w:t>
            </w:r>
          </w:p>
          <w:p w14:paraId="7F39B1DB" w14:textId="3B06FBCE" w:rsidR="00585D30" w:rsidRPr="00585D30" w:rsidRDefault="00585D30" w:rsidP="00585D3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two problems on the board (one at a time) – 2 friends with 12 crackers and 4 friends with 12 crackers.</w:t>
            </w:r>
          </w:p>
          <w:p w14:paraId="15F6F2C4" w14:textId="20B447FE" w:rsidR="00585D30" w:rsidRPr="00585D30" w:rsidRDefault="00585D30" w:rsidP="00585D3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Teacher will walk around the room helping groups as needed.</w:t>
            </w:r>
          </w:p>
          <w:p w14:paraId="3F3A908C" w14:textId="43C8F631" w:rsidR="00585D30" w:rsidRPr="00585D30" w:rsidRDefault="00585D30" w:rsidP="00585D3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 and ask the questions to check the answers.</w:t>
            </w:r>
          </w:p>
          <w:p w14:paraId="12C32014" w14:textId="4216F9F7" w:rsidR="008815DF" w:rsidRPr="00DB368B" w:rsidRDefault="00585D3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76559C"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 </w:t>
            </w:r>
            <w:r w:rsidR="00DB368B"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Rangez les ardoises puis allez vous asseoir </w:t>
            </w:r>
            <w:r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B01F1CE" w14:textId="60016AAA" w:rsidR="00585D30" w:rsidRDefault="00585D3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put their whiteboards away and sit at their desk.</w:t>
            </w:r>
          </w:p>
          <w:p w14:paraId="3165EE53" w14:textId="77777777" w:rsidR="00585D30" w:rsidRPr="00585D30" w:rsidRDefault="00585D3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30D098AC" w14:textId="33E0CCFD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585D30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25C98F17" w:rsidR="008815DF" w:rsidRPr="00DB368B" w:rsidRDefault="00585D3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B368B"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Prenez vos livres de math et allez à la </w:t>
            </w:r>
            <w:r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page 172.”</w:t>
            </w:r>
          </w:p>
          <w:p w14:paraId="1C406AEF" w14:textId="6E530D44" w:rsidR="00585D30" w:rsidRDefault="00585D3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pull out their books and turn to page 172.</w:t>
            </w:r>
          </w:p>
          <w:p w14:paraId="0330DD9F" w14:textId="11FEF5B4" w:rsidR="00585D30" w:rsidRPr="00DB368B" w:rsidRDefault="00585D3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B368B"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devez faire les exercices</w:t>
            </w:r>
            <w:r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1, 2, 3, 5, 6, 9.  </w:t>
            </w:r>
            <w:r w:rsidR="00DB368B"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minutes.”</w:t>
            </w:r>
          </w:p>
          <w:p w14:paraId="28F8837D" w14:textId="05D9CC8E" w:rsidR="00585D30" w:rsidRPr="00585D30" w:rsidRDefault="00585D3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problems.</w:t>
            </w:r>
          </w:p>
          <w:p w14:paraId="6D25DFD1" w14:textId="00A6EDE1" w:rsidR="008815DF" w:rsidRPr="00DB368B" w:rsidRDefault="00585D3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B368B"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une minute.”</w:t>
            </w:r>
          </w:p>
          <w:p w14:paraId="18CCA29B" w14:textId="7D44947F" w:rsidR="00585D30" w:rsidRPr="00DB368B" w:rsidRDefault="00585D3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B368B"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Rangez votre place, redonnez vos feuilles et allez vous asseoir </w:t>
            </w:r>
            <w:r w:rsid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tapis</w:t>
            </w:r>
            <w:r w:rsidRPr="00DB36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496AFBD" w14:textId="77777777" w:rsidR="00585D30" w:rsidRPr="00DB368B" w:rsidRDefault="00585D3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11DE690D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D15C69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1E8D5CD7" w:rsidR="004251CC" w:rsidRPr="00DB368B" w:rsidRDefault="00585D3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DB368B"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Prenez vos ardoises</w:t>
            </w:r>
            <w:r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90DE3CA" w14:textId="710AC891" w:rsidR="00585D30" w:rsidRPr="00DB368B" w:rsidRDefault="00585D3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DB368B"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un dernier problème</w:t>
            </w:r>
            <w:r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DB368B"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Pendant que je vous le lis, notez les informations importantes</w:t>
            </w:r>
            <w:r w:rsidR="003026EF"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125B5E9" w14:textId="0F4844DE" w:rsidR="003026EF" w:rsidRPr="00DB368B" w:rsidRDefault="003026E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“Joy </w:t>
            </w:r>
            <w:r w:rsidR="00DB368B"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12 coquillages</w:t>
            </w:r>
            <w:r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DB368B"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Elle en donne 2 à sa maman</w:t>
            </w:r>
            <w:r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DB368B"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Puis elle partage équitablement le reste avec sa soeur</w:t>
            </w:r>
            <w:r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DB368B"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coquillages Joy et sa soeur vont-elles avoir</w:t>
            </w:r>
            <w:r w:rsidRPr="00DB36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6B245750" w14:textId="5B255B92" w:rsidR="004251CC" w:rsidRPr="003026EF" w:rsidRDefault="003026EF" w:rsidP="003026E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solve the problem with the students.</w:t>
            </w:r>
          </w:p>
        </w:tc>
      </w:tr>
      <w:tr w:rsidR="004251CC" w:rsidRPr="00C11549" w14:paraId="4509F94E" w14:textId="77777777" w:rsidTr="00D83D8E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D83D8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2D7F3D9" w14:textId="1E30B781" w:rsidR="004251CC" w:rsidRPr="00C11549" w:rsidRDefault="003026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Practice and Independent Practice problems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1, 2, 3, 5, 6, 9.</w:t>
            </w:r>
          </w:p>
        </w:tc>
      </w:tr>
      <w:tr w:rsidR="0093744E" w:rsidRPr="00C11549" w14:paraId="05C0C6A1" w14:textId="77777777" w:rsidTr="00D83D8E">
        <w:tc>
          <w:tcPr>
            <w:tcW w:w="10998" w:type="dxa"/>
            <w:gridSpan w:val="5"/>
            <w:shd w:val="solid" w:color="F2DBDB" w:themeColor="accent2" w:themeTint="33" w:fill="auto"/>
          </w:tcPr>
          <w:p w14:paraId="31F10104" w14:textId="6A1C1B9A" w:rsidR="0093744E" w:rsidRDefault="0093744E" w:rsidP="00D83D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Extra Ide</w:t>
            </w:r>
            <w:r w:rsidR="00D83D8E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</w:tr>
      <w:tr w:rsidR="0093744E" w:rsidRPr="00C11549" w14:paraId="46600254" w14:textId="77777777" w:rsidTr="008815DF">
        <w:tc>
          <w:tcPr>
            <w:tcW w:w="10998" w:type="dxa"/>
            <w:gridSpan w:val="5"/>
          </w:tcPr>
          <w:p w14:paraId="1E087AE9" w14:textId="65B58BBE" w:rsidR="0093744E" w:rsidRDefault="00937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Dealing Cards – play a card game for centers where they have to deal the cards equally and see how many cards each person gets.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64735"/>
    <w:multiLevelType w:val="hybridMultilevel"/>
    <w:tmpl w:val="ADF8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F833DB"/>
    <w:multiLevelType w:val="hybridMultilevel"/>
    <w:tmpl w:val="330E1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2567E3"/>
    <w:rsid w:val="003026EF"/>
    <w:rsid w:val="004251CC"/>
    <w:rsid w:val="00471883"/>
    <w:rsid w:val="00585D30"/>
    <w:rsid w:val="006F27C9"/>
    <w:rsid w:val="00706036"/>
    <w:rsid w:val="00707B13"/>
    <w:rsid w:val="0076559C"/>
    <w:rsid w:val="00853196"/>
    <w:rsid w:val="008815DF"/>
    <w:rsid w:val="0093744E"/>
    <w:rsid w:val="00A11D0D"/>
    <w:rsid w:val="00A1580A"/>
    <w:rsid w:val="00A33D1C"/>
    <w:rsid w:val="00AA658E"/>
    <w:rsid w:val="00AE2B42"/>
    <w:rsid w:val="00B049C7"/>
    <w:rsid w:val="00B31316"/>
    <w:rsid w:val="00BD4B6B"/>
    <w:rsid w:val="00C11549"/>
    <w:rsid w:val="00C2210E"/>
    <w:rsid w:val="00C52AB5"/>
    <w:rsid w:val="00C8466E"/>
    <w:rsid w:val="00CD5DB9"/>
    <w:rsid w:val="00D15C69"/>
    <w:rsid w:val="00D65C24"/>
    <w:rsid w:val="00D83D8E"/>
    <w:rsid w:val="00DB368B"/>
    <w:rsid w:val="00DE7298"/>
    <w:rsid w:val="00DF1D1F"/>
    <w:rsid w:val="00E35C87"/>
    <w:rsid w:val="00E77195"/>
    <w:rsid w:val="00EE4845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1206</Words>
  <Characters>6876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2013-01-29T04:03:00Z</dcterms:created>
  <dcterms:modified xsi:type="dcterms:W3CDTF">2013-02-07T02:05:00Z</dcterms:modified>
</cp:coreProperties>
</file>