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A25AE" w:rsidRPr="00C11549" w14:paraId="48F2BDC3" w14:textId="77777777" w:rsidTr="003529A6">
        <w:tc>
          <w:tcPr>
            <w:tcW w:w="3666" w:type="dxa"/>
            <w:shd w:val="solid" w:color="F2DBDB" w:themeColor="accent2" w:themeTint="33" w:fill="C0504D" w:themeFill="accent2"/>
          </w:tcPr>
          <w:p w14:paraId="201187D2" w14:textId="77777777" w:rsidR="001A25AE" w:rsidRPr="00C11549" w:rsidRDefault="001A25A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71FFEF2F" w14:textId="0083FED1" w:rsidR="001A25AE" w:rsidRPr="00C11549" w:rsidRDefault="001A25AE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287D284" w14:textId="62D3439B" w:rsidR="001A25AE" w:rsidRDefault="001A25A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9-6</w:t>
            </w:r>
            <w:bookmarkStart w:id="0" w:name="_GoBack"/>
            <w:bookmarkEnd w:id="0"/>
          </w:p>
          <w:p w14:paraId="7C063D5D" w14:textId="166D165F" w:rsidR="001A25AE" w:rsidRPr="00C11549" w:rsidRDefault="001A25A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Fractions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64A3D294" w:rsidR="001A25AE" w:rsidRPr="001A25AE" w:rsidRDefault="001A25A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A25A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1A25A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28B6CEA" w:rsidR="00B31316" w:rsidRPr="00850CDC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2495">
              <w:rPr>
                <w:rFonts w:asciiTheme="majorHAnsi" w:hAnsiTheme="majorHAnsi"/>
                <w:b/>
                <w:sz w:val="20"/>
                <w:szCs w:val="20"/>
              </w:rPr>
              <w:t>3.NF.2.a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2495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1A25A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20269" w14:paraId="62A07088" w14:textId="77777777" w:rsidTr="008815DF">
        <w:tc>
          <w:tcPr>
            <w:tcW w:w="5418" w:type="dxa"/>
            <w:gridSpan w:val="2"/>
          </w:tcPr>
          <w:p w14:paraId="433627C5" w14:textId="77777777" w:rsidR="004251CC" w:rsidRDefault="004E2495">
            <w:pPr>
              <w:rPr>
                <w:rFonts w:asciiTheme="majorHAnsi" w:hAnsiTheme="majorHAnsi"/>
                <w:sz w:val="20"/>
                <w:szCs w:val="20"/>
              </w:rPr>
            </w:pPr>
            <w:r w:rsidRPr="00850CDC">
              <w:rPr>
                <w:rFonts w:asciiTheme="majorHAnsi" w:hAnsiTheme="majorHAnsi"/>
                <w:sz w:val="20"/>
                <w:szCs w:val="20"/>
              </w:rPr>
              <w:t>Students use benchmark fractions to estimate fractional parts.</w:t>
            </w:r>
          </w:p>
          <w:p w14:paraId="03FC266E" w14:textId="1BCE8CEF" w:rsidR="00850CDC" w:rsidRPr="001A25AE" w:rsidRDefault="00506005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1A25AE">
              <w:rPr>
                <w:rStyle w:val="hps"/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Je peux</w:t>
            </w:r>
            <w:r w:rsidRPr="001A25A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A25AE">
              <w:rPr>
                <w:rStyle w:val="hps"/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utiliser des fractions</w:t>
            </w:r>
            <w:r w:rsidRPr="001A25A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A25AE">
              <w:rPr>
                <w:rStyle w:val="hps"/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de référence</w:t>
            </w:r>
            <w:r w:rsidRPr="001A25A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A25AE">
              <w:rPr>
                <w:rStyle w:val="hps"/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pour estimer les</w:t>
            </w:r>
            <w:r w:rsidRPr="001A25A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A25AE">
              <w:rPr>
                <w:rStyle w:val="hps"/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parties fractionnaires</w:t>
            </w:r>
            <w:r w:rsidRPr="001A25A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440AE50A" w:rsidR="00A33D1C" w:rsidRDefault="00850C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27F45">
              <w:rPr>
                <w:rFonts w:asciiTheme="majorHAnsi" w:hAnsiTheme="majorHAnsi"/>
                <w:sz w:val="20"/>
                <w:szCs w:val="20"/>
              </w:rPr>
              <w:t>read and say the fraction on the fraction strips to their neighbor.</w:t>
            </w:r>
          </w:p>
          <w:p w14:paraId="6EB64C77" w14:textId="0BDC130A" w:rsidR="00706036" w:rsidRPr="001A25AE" w:rsidRDefault="00850CDC" w:rsidP="0012026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20269"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et dire les fractions</w:t>
            </w:r>
            <w:r w:rsidR="00D27F45"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20269"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sur les bandes de fractions</w:t>
            </w:r>
            <w:r w:rsidR="00D27F45"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20269" w:rsidRPr="001A25A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 mon partenaire.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3E8F4E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B606F0C" w:rsidR="00BD4B6B" w:rsidRPr="00C11549" w:rsidRDefault="004E24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part of a whole can be analyzed to choose a benchmark fraction that approximates the part.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7221D5B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E24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20269">
              <w:rPr>
                <w:rFonts w:asciiTheme="majorHAnsi" w:hAnsiTheme="majorHAnsi"/>
                <w:sz w:val="20"/>
                <w:szCs w:val="20"/>
                <w:lang w:val="fr-FR"/>
              </w:rPr>
              <w:t>fraction de référence</w:t>
            </w:r>
          </w:p>
          <w:p w14:paraId="697A3141" w14:textId="564F81DF" w:rsidR="004251CC" w:rsidRPr="004E2495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4E24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C08D24" w14:textId="5BAEA72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4E24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3099461" w14:textId="4D39A43D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7371E0A9" w:rsidR="00C8466E" w:rsidRPr="00850CDC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1A25A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688803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FE7E30D" w14:textId="77777777" w:rsidR="00BD4B6B" w:rsidRPr="00850CDC" w:rsidRDefault="004E249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50CDC">
              <w:rPr>
                <w:rFonts w:asciiTheme="majorHAnsi" w:hAnsiTheme="majorHAnsi"/>
                <w:sz w:val="20"/>
                <w:szCs w:val="20"/>
              </w:rPr>
              <w:t>Fraction strips</w:t>
            </w:r>
          </w:p>
          <w:p w14:paraId="6E1C80DD" w14:textId="77777777" w:rsidR="004E2495" w:rsidRPr="00850CDC" w:rsidRDefault="004E249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50CDC">
              <w:rPr>
                <w:rFonts w:asciiTheme="majorHAnsi" w:hAnsiTheme="majorHAnsi"/>
                <w:sz w:val="20"/>
                <w:szCs w:val="20"/>
              </w:rPr>
              <w:t>Teaching tool 22</w:t>
            </w:r>
          </w:p>
          <w:p w14:paraId="07FE0E99" w14:textId="4DABA767" w:rsidR="004E2495" w:rsidRPr="00C11549" w:rsidRDefault="004E249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50CDC">
              <w:rPr>
                <w:rFonts w:asciiTheme="majorHAnsi" w:hAnsiTheme="majorHAnsi"/>
                <w:sz w:val="20"/>
                <w:szCs w:val="20"/>
              </w:rPr>
              <w:t>Crayons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67BB7CF1" w:rsidR="008815DF" w:rsidRPr="00120269" w:rsidRDefault="0012026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estimation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1A25A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0ED670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51F51">
              <w:rPr>
                <w:rFonts w:asciiTheme="majorHAnsi" w:hAnsiTheme="majorHAnsi"/>
                <w:b/>
                <w:sz w:val="20"/>
                <w:szCs w:val="20"/>
              </w:rPr>
              <w:t xml:space="preserve">  25 -30 minutes</w:t>
            </w:r>
          </w:p>
        </w:tc>
      </w:tr>
      <w:tr w:rsidR="004251CC" w:rsidRPr="006835DB" w14:paraId="6C3689F4" w14:textId="77777777" w:rsidTr="001A25A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F1978DA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50CD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96B4184" w14:textId="097EF0C2" w:rsidR="00644770" w:rsidRPr="00120269" w:rsidRDefault="004E249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vous asseoir sur le tapis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10, 9,…..2,1!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d’être venu si rapidement et silencieusement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en levant la main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ce qu’on a appris aujourd’hui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589373F" w14:textId="111F7031" w:rsidR="004E2495" w:rsidRPr="00120269" w:rsidRDefault="004E249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20269"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appris à trouver des fractions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20269"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des nombres fractionnaires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sur des droites numériques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71BE9D24" w14:textId="2D862BC1" w:rsidR="004E2495" w:rsidRPr="00120269" w:rsidRDefault="004E249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utiliser des fractions pour décrire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partie d’un tout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utiliser des fractions pour estimer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partie d’un tout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déjà utilisé la phrase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environ une moitié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521F10" w14:textId="77777777" w:rsidR="004E2495" w:rsidRPr="00C93110" w:rsidRDefault="004E249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93110">
              <w:rPr>
                <w:rFonts w:asciiTheme="majorHAnsi" w:hAnsiTheme="majorHAnsi" w:cs="Arial"/>
                <w:sz w:val="20"/>
                <w:szCs w:val="20"/>
              </w:rPr>
              <w:t>S: (raises hands)</w:t>
            </w:r>
          </w:p>
          <w:p w14:paraId="507E71DE" w14:textId="3ABC1037" w:rsidR="004E2495" w:rsidRPr="00120269" w:rsidRDefault="004E249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avez-vous utilisé cette phrase auparavant</w:t>
            </w:r>
            <w:r w:rsidR="00D27F45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D27F45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9DC4BE" w14:textId="7F775D11" w:rsidR="004E2495" w:rsidRPr="00120269" w:rsidRDefault="004E249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Quand j’ai marché environ la moitié d’un mile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Environ une demi-heure de jeux vidéo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4C09430" w14:textId="7F0419B1" w:rsidR="00D27F45" w:rsidRPr="00120269" w:rsidRDefault="00D27F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B6608D" w14:textId="317D35AD" w:rsidR="00D27F45" w:rsidRPr="00120269" w:rsidRDefault="00D27F4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Quand j’ai marché environ la moitié d’un mile</w:t>
            </w:r>
            <w:r w:rsidR="00120269"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Environ une demi-heure de jeux vidéo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771DD47" w14:textId="0FB7A09F" w:rsidR="004E2495" w:rsidRPr="00120269" w:rsidRDefault="004E249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des exemples excellents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C20109" w14:textId="77777777" w:rsidR="004E2495" w:rsidRPr="00120269" w:rsidRDefault="004E249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2C4B1A5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50CD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6A18536" w14:textId="77777777" w:rsidR="00850CDC" w:rsidRPr="00D27F45" w:rsidRDefault="004E2495" w:rsidP="00850C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D27F45">
              <w:rPr>
                <w:rFonts w:asciiTheme="majorHAnsi" w:hAnsiTheme="majorHAnsi" w:cs="Arial"/>
                <w:sz w:val="20"/>
                <w:szCs w:val="20"/>
              </w:rPr>
              <w:t>Distribute fraction strips for 1 wh</w:t>
            </w:r>
            <w:r w:rsidR="00850CDC" w:rsidRPr="00D27F45">
              <w:rPr>
                <w:rFonts w:asciiTheme="majorHAnsi" w:hAnsiTheme="majorHAnsi" w:cs="Arial"/>
                <w:sz w:val="20"/>
                <w:szCs w:val="20"/>
              </w:rPr>
              <w:t>ole, halves, thirds and fourths.</w:t>
            </w:r>
          </w:p>
          <w:p w14:paraId="714E7ADE" w14:textId="360A549A" w:rsidR="00850CDC" w:rsidRPr="00120269" w:rsidRDefault="00850CDC" w:rsidP="00850C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avec les bandes de papier</w:t>
            </w:r>
            <w:r w:rsidR="004E2495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je viens de vous donner</w:t>
            </w:r>
            <w:r w:rsidR="004E2495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tables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la bande de papier entière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j’aimerais que vous c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loriez une partie avec vos crayons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Juste une partie, grande ou petite, comme vous voulez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fini,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</w:t>
            </w:r>
            <w:r w:rsidR="005F5F4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échangiez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bande de papier avec votre partenaire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fois que vous l’avez fait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20269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mettez vos mains sur vos </w:t>
            </w:r>
            <w:r w:rsidR="005F5F4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têtes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que je vois que vous avez fini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0033934A" w14:textId="77777777" w:rsidR="00850CDC" w:rsidRDefault="00850CDC" w:rsidP="00850C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50CDC">
              <w:rPr>
                <w:rFonts w:asciiTheme="majorHAnsi" w:hAnsiTheme="majorHAnsi" w:cs="Arial"/>
                <w:sz w:val="20"/>
                <w:szCs w:val="20"/>
              </w:rPr>
              <w:t>Give students time to finish.</w:t>
            </w:r>
            <w:r w:rsidR="00F62FE7" w:rsidRPr="00850CD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023C4C3" w14:textId="0549CBEC" w:rsidR="008815DF" w:rsidRPr="00120269" w:rsidRDefault="00850CDC" w:rsidP="00850C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 est-ce que tout le monde a fini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L’avez-vous échangée avec un partenaire</w:t>
            </w:r>
            <w:r w:rsidR="00F62FE7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BE82FDE" w14:textId="091DD6CC" w:rsidR="00F62FE7" w:rsidRPr="00120269" w:rsidRDefault="00F62F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on l’a échangée avec un partenaire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08E9072" w14:textId="00216E0D" w:rsidR="00D27F45" w:rsidRPr="005F5F44" w:rsidRDefault="00F62FE7" w:rsidP="00850C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veux que vous estimiez la partie coloriée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une fraction pour décrire cette partie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vérifiiez votre réponse avec l’autre bande de fraction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fraction a votre partenaire</w:t>
            </w:r>
            <w:r w:rsidR="00D27F45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AEB660" w14:textId="77777777" w:rsidR="00D27F45" w:rsidRDefault="00D27F45" w:rsidP="00850CD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the fraction of the strip that is colored.</w:t>
            </w:r>
          </w:p>
          <w:p w14:paraId="1ABE18CC" w14:textId="33C10639" w:rsidR="00850CDC" w:rsidRPr="00120269" w:rsidRDefault="00D27F45" w:rsidP="00850C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coloriez une autre partie d’une bande</w:t>
            </w:r>
            <w:r w:rsidR="00850CDC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C04114F" w14:textId="77777777" w:rsidR="00850CDC" w:rsidRPr="00850CDC" w:rsidRDefault="00850CDC" w:rsidP="00850C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850CDC">
              <w:rPr>
                <w:rFonts w:asciiTheme="majorHAnsi" w:hAnsiTheme="majorHAnsi" w:cs="Arial"/>
                <w:sz w:val="20"/>
                <w:szCs w:val="20"/>
              </w:rPr>
              <w:t>Give students time to estimate.</w:t>
            </w:r>
            <w:r w:rsidR="00F62FE7" w:rsidRPr="00850CD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04DEC1F" w14:textId="3B33E81F" w:rsidR="00F62FE7" w:rsidRPr="00120269" w:rsidRDefault="00850CDC" w:rsidP="00850CD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qui peut me dire comment il/elle a estimé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portion coloriée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leur bande de fraction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0805F32" w14:textId="0D67DEDE" w:rsidR="005A1C84" w:rsidRPr="005F5F44" w:rsidRDefault="005A1C8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F5F44"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l’ai comparée avec la bande de fraction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5F5F44"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divisée en quarts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5F5F44"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j’ai vu que c’était environ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¼.”</w:t>
            </w:r>
          </w:p>
          <w:p w14:paraId="4558B223" w14:textId="670BCEB1" w:rsidR="005A1C84" w:rsidRPr="00120269" w:rsidRDefault="005A1C8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 ! C’est une très bonne façon d’estimer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quelqu’un l’a fait d’une façon différente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FAEAE5" w14:textId="72761E2C" w:rsidR="005A1C84" w:rsidRPr="005F5F44" w:rsidRDefault="005A1C8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F5F44"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plié la bande en deux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5F5F44"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j’ai vu que c’était environ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 </w:t>
            </w:r>
            <w:r w:rsid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 la bande de papier qui était coloriée</w:t>
            </w:r>
            <w:r w:rsidRP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685A5C2" w14:textId="3BA91A82" w:rsidR="00D27F45" w:rsidRPr="00120269" w:rsidRDefault="005A1C8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autre façon excellente d’estimer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dites à votre partenaire comment vous avez estimé</w:t>
            </w:r>
            <w:r w:rsidR="00D27F45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73D0AE" w14:textId="77777777" w:rsidR="00D27F45" w:rsidRDefault="00D27F4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way they estimated.</w:t>
            </w:r>
          </w:p>
          <w:p w14:paraId="6D10541F" w14:textId="6CFEDCC2" w:rsidR="005A1C84" w:rsidRPr="00120269" w:rsidRDefault="00D27F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une question</w:t>
            </w:r>
            <w:r w:rsidR="005A1C8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les parties coloriées doivent être au début ou à la fin de la bande</w:t>
            </w:r>
            <w:r w:rsidR="005A1C8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Peuvent-elles être au milieu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360E0A" w14:textId="5E5A14E1" w:rsidR="00DC783E" w:rsidRPr="00120269" w:rsidRDefault="005A1C8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F5F4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elles peuvent être au milieu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DC783E"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</w:p>
          <w:p w14:paraId="2AA9950C" w14:textId="4B4701CA" w:rsidR="005A1C84" w:rsidRPr="00120269" w:rsidRDefault="00DC783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j’ai une bande de fraction ici aussi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vais juste colorier le milieu</w:t>
            </w:r>
            <w:r w:rsidR="005A1C84"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comme Sammy</w:t>
            </w:r>
            <w:r w:rsidR="005A1C8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estimer en la comparant</w:t>
            </w:r>
            <w:r w:rsidR="005A1C8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1B45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bande de fraction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est déjà pliée en quarts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cette </w:t>
            </w:r>
            <w:r w:rsidR="00C81B45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je peux voir que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F5F44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portion </w:t>
            </w:r>
            <w:r w:rsidR="00C81B45"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colorié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ma bande est d’environ 2 quarts</w:t>
            </w:r>
            <w:r w:rsidRPr="005F5F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c’est environ 2/4 ou</w:t>
            </w:r>
            <w:r w:rsidRPr="001202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46BB6C7" w14:textId="2DCAAB62" w:rsidR="00DC783E" w:rsidRPr="00120269" w:rsidRDefault="00DC783E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2026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“ou</w:t>
            </w:r>
            <w:r w:rsidRPr="0012026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½”</w:t>
            </w:r>
          </w:p>
          <w:p w14:paraId="5D1043D1" w14:textId="2FF4FB57" w:rsidR="00DC783E" w:rsidRPr="00C81B45" w:rsidRDefault="00DC783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si vous n’aviez plus de bandes de fraction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vous ne pourriez pas plier la bande en deux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pourriez-vous faire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9D2691" w14:textId="444CCC2B" w:rsidR="00DC783E" w:rsidRPr="00C81B45" w:rsidRDefault="00DC783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Peut-être que je pourrais imaginer ou estimer en regardant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8827CC6" w14:textId="6192D3EA" w:rsidR="00DC783E" w:rsidRPr="00C81B45" w:rsidRDefault="00DC783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faire ça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fraction souvent utilisée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est facile à identifier et à visualiser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telle que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½,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appelée une fraction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d’autre fractions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avez utilisé pour faire vos estimations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0DBE098" w14:textId="4D3742CB" w:rsidR="00DC783E" w:rsidRPr="00C81B45" w:rsidRDefault="00DC783E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“1/4.”</w:t>
            </w: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</w:t>
            </w:r>
            <w:r w:rsidRPr="00C81B45">
              <w:rPr>
                <w:rFonts w:asciiTheme="majorHAnsi" w:hAnsiTheme="majorHAnsi" w:cs="Arial"/>
                <w:sz w:val="20"/>
                <w:szCs w:val="20"/>
              </w:rPr>
              <w:t>or various answers</w:t>
            </w: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5C0A32D9" w14:textId="423824FB" w:rsidR="00DC783E" w:rsidRPr="00C81B45" w:rsidRDefault="00DC783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d’excellentes fractions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qu’une fraction telle que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7/12 </w:t>
            </w:r>
            <w:r w:rsidR="00C81B45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serait une bonne fraction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for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pourriez utiliser pour estimer la partie d’un tout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D98B822" w14:textId="00DC8510" w:rsidR="00DC783E" w:rsidRPr="00C81B45" w:rsidRDefault="00DC783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Non, ce serait dur de visualiser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7 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sur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 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si ce n’est pas marqué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3BF7463" w14:textId="6288A299" w:rsidR="00DC783E" w:rsidRPr="00C81B45" w:rsidRDefault="00DC783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="00F9194E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EE009B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50CDC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D3BEA3A" w14:textId="470A7B58" w:rsidR="00F9194E" w:rsidRPr="00C81B45" w:rsidRDefault="00F919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 à la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232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vos livres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voyez-vous dans le premier cadre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D001CB" w14:textId="32EAB0A4" w:rsidR="00F9194E" w:rsidRPr="00C81B45" w:rsidRDefault="00F9194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voit une boite qui est partiellement coloriée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71AD174" w14:textId="04A10ED4" w:rsidR="00F9194E" w:rsidRPr="00C81B45" w:rsidRDefault="00F919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On dirait que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Mr. Anderson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récolte du blé dans sa ferme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L’image montre deux parties d’un champ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pensez que la plus petite des parties représente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D27F45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D27F45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2A74C03" w14:textId="4E14CB1C" w:rsidR="00F9194E" w:rsidRPr="00C81B45" w:rsidRDefault="00F9194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Ça montre la partie du champ que</w:t>
            </w:r>
            <w:r w:rsidR="006A3F27"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Mr. Anderson 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doit encore récolter</w:t>
            </w:r>
            <w:r w:rsidR="006A3F27"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B4D8FB3" w14:textId="138EE56B" w:rsidR="00D27F45" w:rsidRPr="00C81B45" w:rsidRDefault="00D27F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pensez que ça représente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A511CA1" w14:textId="07D616DF" w:rsidR="00D27F45" w:rsidRPr="00C81B45" w:rsidRDefault="00D27F4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“Ça</w:t>
            </w:r>
            <w:r w:rsid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montre la partie du champ que Mr. Anderson doit encore récolter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84E7C9A" w14:textId="564938FB" w:rsidR="006A3F27" w:rsidRPr="00C81B45" w:rsidRDefault="006A3F2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vrai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est-ce que ça nous dit la taille de la partie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doit toujours être récoltée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7C7FC50" w14:textId="11157D04" w:rsidR="006A3F27" w:rsidRPr="00C81B45" w:rsidRDefault="006A3F2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Non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D498A7B" w14:textId="1E5F3953" w:rsidR="006A3F27" w:rsidRPr="00C81B45" w:rsidRDefault="006A3F2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donc c’est là que vous devons utiliser une fraction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que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2/4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donnée comme fraction de référence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A22C802" w14:textId="7EACDA35" w:rsidR="006A3F27" w:rsidRPr="00A7052F" w:rsidRDefault="006A3F2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705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“2/4 </w:t>
            </w:r>
            <w:r w:rsidR="00A7052F"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même que</w:t>
            </w:r>
            <w:r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½, </w:t>
            </w:r>
            <w:r w:rsidR="00A7052F"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c’est plus facile d’utiliser ½ que</w:t>
            </w:r>
            <w:r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2/4 </w:t>
            </w:r>
            <w:r w:rsidR="00A7052F"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si tu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décri</w:t>
            </w:r>
            <w:r w:rsidR="00A7052F"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 la partie de quelque-chose</w:t>
            </w:r>
            <w:r w:rsidRP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E164DA2" w14:textId="68F78D83" w:rsidR="006A3F27" w:rsidRPr="00A7052F" w:rsidRDefault="006A3F2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52F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  <w:r w:rsidR="0017771A" w:rsidRPr="00A7052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par rapport aux fractions de références</w:t>
            </w:r>
            <w:r w:rsidR="0017771A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fraction de référence est plus proche</w:t>
            </w:r>
            <w:r w:rsidR="0017771A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partie qui</w:t>
            </w:r>
            <w:r w:rsidR="0017771A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doit encore être récoltée</w:t>
            </w:r>
            <w:r w:rsidR="0017771A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BFB4199" w14:textId="481008D1" w:rsidR="0017771A" w:rsidRPr="00C81B45" w:rsidRDefault="0017771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“1/3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proche de la partie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qui doit encore être récoltée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A6A4D44" w14:textId="31483CFF" w:rsidR="0017771A" w:rsidRPr="00C81B45" w:rsidRDefault="0017771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vrai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pouvez-vous résoudre ce problème en utilisant la fraction de référence la plus proche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lieu de la fraction exacte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E7FE0D6" w14:textId="64488CD5" w:rsidR="0017771A" w:rsidRPr="00C81B45" w:rsidRDefault="0017771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problème nous demande de trouver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quelle partie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du champ de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Mr. Anderson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n’a pas encore été récoltée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Ça nous demande d’estimer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FAB64E8" w14:textId="71BA1891" w:rsidR="0017771A" w:rsidRPr="00C81B45" w:rsidRDefault="00A7052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“Bien</w:t>
            </w:r>
            <w:r w:rsidR="0017771A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DA1E7A9" w14:textId="77777777" w:rsidR="0017771A" w:rsidRPr="00F9194E" w:rsidRDefault="0017771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92ACBF3" w:rsidR="008815DF" w:rsidRPr="00A7052F" w:rsidRDefault="001777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numéro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pratique guidée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dirait qu’on doit estimer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partie jaune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les fractions de référence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nous connaissons, qui sont…</w:t>
            </w: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7573F6" w14:textId="514AB643" w:rsidR="0017771A" w:rsidRPr="00C81B45" w:rsidRDefault="0017771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“1/2 ¼ ¾ et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2/3.”</w:t>
            </w:r>
          </w:p>
          <w:p w14:paraId="190D55F7" w14:textId="05B41878" w:rsidR="0017771A" w:rsidRPr="00A7052F" w:rsidRDefault="001777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écrire au tableau</w:t>
            </w:r>
            <w:r w:rsidR="00D27F45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sachant ça</w:t>
            </w:r>
            <w:r w:rsidR="001B5CEE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7052F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serait l’estimation de la partie coloriée</w:t>
            </w:r>
            <w:r w:rsidR="001B5CEE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674C63" w14:textId="7EA922EF" w:rsidR="001B5CEE" w:rsidRPr="00C81B45" w:rsidRDefault="001B5CEE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A705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dirait que c’est environ</w:t>
            </w:r>
            <w:r w:rsidRPr="00C81B4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¼.”</w:t>
            </w:r>
          </w:p>
          <w:p w14:paraId="4B77B8C6" w14:textId="77777777" w:rsidR="00A14E31" w:rsidRPr="00A7052F" w:rsidRDefault="00A14E3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AF85A3F" w14:textId="34AB0651" w:rsidR="00A14E31" w:rsidRPr="00A14E31" w:rsidRDefault="00A14E31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CC984A8" w14:textId="568EA850" w:rsidR="00A14E31" w:rsidRPr="00C81B45" w:rsidRDefault="001B5CE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“Excellent.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avec un partenaire, j’aimerais que vous fassiez 2 problèmes de plus</w:t>
            </w:r>
            <w:r w:rsidR="00A14E31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4E31"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A14E31" w:rsidRPr="00A7052F">
              <w:rPr>
                <w:rFonts w:asciiTheme="majorHAnsi" w:hAnsiTheme="majorHAnsi" w:cs="Arial"/>
                <w:sz w:val="20"/>
                <w:szCs w:val="20"/>
              </w:rPr>
              <w:t>choose the problems</w:t>
            </w:r>
            <w:r w:rsidR="00A14E31" w:rsidRPr="00C81B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 vous leur lisiez les fractions</w:t>
            </w:r>
            <w:r w:rsidR="00A14E31"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A7052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73E0A3CA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50CD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E6B9530" w14:textId="6C1FF33D" w:rsidR="00A14E31" w:rsidRPr="00C81B45" w:rsidRDefault="00A14E3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A25AE" w:rsidRP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tout seul, faites le reste des</w:t>
            </w:r>
            <w:r w:rsid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problèmes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pratique indépendante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705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si vous avez des questions</w:t>
            </w:r>
            <w:r w:rsidRPr="00C81B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B24C4C" w14:textId="7FD9A18D" w:rsidR="008815DF" w:rsidRPr="006835DB" w:rsidRDefault="00850CDC" w:rsidP="00850C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6835DB">
              <w:rPr>
                <w:rFonts w:asciiTheme="majorHAnsi" w:hAnsiTheme="majorHAnsi" w:cs="Arial"/>
                <w:sz w:val="20"/>
                <w:szCs w:val="20"/>
              </w:rPr>
              <w:t>Students will complete the independent practice section.</w:t>
            </w:r>
          </w:p>
          <w:p w14:paraId="5D27E73F" w14:textId="77777777" w:rsidR="00CA050D" w:rsidRPr="006835DB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0BF86A28" w:rsidR="008815DF" w:rsidRPr="006835DB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Closing: (</w:t>
            </w:r>
            <w:r w:rsidR="00850CDC" w:rsidRP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0E97C2E4" w:rsidR="004251CC" w:rsidRPr="006835DB" w:rsidRDefault="001B5CE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“Ok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class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rangez vos livres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I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une boite de poissons suédois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n’est pas remplie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utilisant vos connaissances des fractions de références,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</w:t>
            </w:r>
            <w:r w:rsid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personne </w:t>
            </w:r>
            <w:r w:rsidR="006835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té de vous votre estimation de la quantité dans cette boite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835DB"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vous avez raison je vais vous donner un poisson suédois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85F8F2E" w14:textId="0CF804F7" w:rsidR="001B5CEE" w:rsidRPr="006835DB" w:rsidRDefault="001B5CE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835D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="006835D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“C’est environ 2/3 </w:t>
            </w:r>
            <w:r w:rsidRPr="006835D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!”</w:t>
            </w:r>
          </w:p>
          <w:p w14:paraId="6B245750" w14:textId="2652177B" w:rsidR="004251CC" w:rsidRPr="006835DB" w:rsidRDefault="001B5CEE" w:rsidP="006835D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bon travail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Je vais donner un poisson </w:t>
            </w:r>
            <w:r w:rsidR="00E62BC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tout le monde</w:t>
            </w: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6835DB" w14:paraId="4509F94E" w14:textId="77777777" w:rsidTr="001A25A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1A25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5A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6835DB" w14:paraId="61B2CFDB" w14:textId="77777777" w:rsidTr="008815DF">
        <w:tc>
          <w:tcPr>
            <w:tcW w:w="10998" w:type="dxa"/>
            <w:gridSpan w:val="5"/>
          </w:tcPr>
          <w:p w14:paraId="72D7F3D9" w14:textId="00B4AFE2" w:rsidR="004251CC" w:rsidRPr="006835DB" w:rsidRDefault="00850CD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35D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Independent Practice</w:t>
            </w:r>
          </w:p>
        </w:tc>
      </w:tr>
    </w:tbl>
    <w:p w14:paraId="23DCE07F" w14:textId="77777777" w:rsidR="0003446E" w:rsidRPr="006835DB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6835DB" w:rsidSect="001A25AE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92A62"/>
    <w:multiLevelType w:val="hybridMultilevel"/>
    <w:tmpl w:val="D14C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C53541"/>
    <w:multiLevelType w:val="hybridMultilevel"/>
    <w:tmpl w:val="6EE24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20269"/>
    <w:rsid w:val="0017771A"/>
    <w:rsid w:val="001A25AE"/>
    <w:rsid w:val="001B5CEE"/>
    <w:rsid w:val="00222B26"/>
    <w:rsid w:val="004251CC"/>
    <w:rsid w:val="00471883"/>
    <w:rsid w:val="004D183A"/>
    <w:rsid w:val="004E2495"/>
    <w:rsid w:val="00506005"/>
    <w:rsid w:val="00551F51"/>
    <w:rsid w:val="005A1C84"/>
    <w:rsid w:val="005F5F44"/>
    <w:rsid w:val="00644770"/>
    <w:rsid w:val="006835DB"/>
    <w:rsid w:val="006A3F27"/>
    <w:rsid w:val="006F27C9"/>
    <w:rsid w:val="00706036"/>
    <w:rsid w:val="00850CDC"/>
    <w:rsid w:val="00853196"/>
    <w:rsid w:val="00875B31"/>
    <w:rsid w:val="008815DF"/>
    <w:rsid w:val="00A14E31"/>
    <w:rsid w:val="00A16D00"/>
    <w:rsid w:val="00A33D1C"/>
    <w:rsid w:val="00A7052F"/>
    <w:rsid w:val="00AA658E"/>
    <w:rsid w:val="00B049C7"/>
    <w:rsid w:val="00B31316"/>
    <w:rsid w:val="00BD4B6B"/>
    <w:rsid w:val="00C11549"/>
    <w:rsid w:val="00C2210E"/>
    <w:rsid w:val="00C81B45"/>
    <w:rsid w:val="00C8466E"/>
    <w:rsid w:val="00C93110"/>
    <w:rsid w:val="00CA050D"/>
    <w:rsid w:val="00CD5DB9"/>
    <w:rsid w:val="00D27F45"/>
    <w:rsid w:val="00D65C24"/>
    <w:rsid w:val="00D848B7"/>
    <w:rsid w:val="00DC783E"/>
    <w:rsid w:val="00DE7298"/>
    <w:rsid w:val="00DF6EC0"/>
    <w:rsid w:val="00E62BCD"/>
    <w:rsid w:val="00E62D20"/>
    <w:rsid w:val="00EE4845"/>
    <w:rsid w:val="00F62FE7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506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50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2013-02-11T20:20:00Z</dcterms:created>
  <dcterms:modified xsi:type="dcterms:W3CDTF">2013-02-19T01:05:00Z</dcterms:modified>
</cp:coreProperties>
</file>